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7"/>
        <w:rPr>
          <w:sz w:val="28"/>
        </w:rPr>
      </w:pPr>
    </w:p>
    <w:p>
      <w:pPr>
        <w:pStyle w:val="Title"/>
      </w:pPr>
      <w:r>
        <w:rPr/>
        <w:t>A</w:t>
      </w:r>
      <w:r>
        <w:rPr>
          <w:spacing w:val="-5"/>
        </w:rPr>
        <w:t> </w:t>
      </w:r>
      <w:r>
        <w:rPr/>
        <w:t>Comparison</w:t>
      </w:r>
      <w:r>
        <w:rPr>
          <w:spacing w:val="-5"/>
        </w:rPr>
        <w:t> </w:t>
      </w:r>
      <w:r>
        <w:rPr/>
        <w:t>of</w:t>
      </w:r>
      <w:r>
        <w:rPr>
          <w:spacing w:val="-4"/>
        </w:rPr>
        <w:t> </w:t>
      </w:r>
      <w:r>
        <w:rPr/>
        <w:t>Skin</w:t>
      </w:r>
      <w:r>
        <w:rPr>
          <w:spacing w:val="-3"/>
        </w:rPr>
        <w:t> </w:t>
      </w:r>
      <w:r>
        <w:rPr/>
        <w:t>Cancer</w:t>
      </w:r>
      <w:r>
        <w:rPr>
          <w:spacing w:val="-4"/>
        </w:rPr>
        <w:t> </w:t>
      </w:r>
      <w:r>
        <w:rPr/>
        <w:t>Knowledge,</w:t>
      </w:r>
      <w:r>
        <w:rPr>
          <w:spacing w:val="-7"/>
        </w:rPr>
        <w:t> </w:t>
      </w:r>
      <w:r>
        <w:rPr/>
        <w:t>Attitude,</w:t>
      </w:r>
      <w:r>
        <w:rPr>
          <w:spacing w:val="-4"/>
        </w:rPr>
        <w:t> </w:t>
      </w:r>
      <w:r>
        <w:rPr/>
        <w:t>and</w:t>
      </w:r>
      <w:r>
        <w:rPr>
          <w:spacing w:val="-3"/>
        </w:rPr>
        <w:t> </w:t>
      </w:r>
      <w:r>
        <w:rPr/>
        <w:t>Protective</w:t>
      </w:r>
      <w:r>
        <w:rPr>
          <w:spacing w:val="-4"/>
        </w:rPr>
        <w:t> </w:t>
      </w:r>
      <w:r>
        <w:rPr/>
        <w:t>Behavior</w:t>
      </w:r>
      <w:r>
        <w:rPr>
          <w:spacing w:val="-4"/>
        </w:rPr>
        <w:t> </w:t>
      </w:r>
      <w:r>
        <w:rPr/>
        <w:t>in African American Students in East and West Coasts</w:t>
      </w:r>
    </w:p>
    <w:p>
      <w:pPr>
        <w:pStyle w:val="Heading1"/>
        <w:spacing w:before="229"/>
        <w:ind w:left="64" w:right="384"/>
        <w:jc w:val="center"/>
      </w:pPr>
      <w:r>
        <w:rPr/>
        <w:t>Catherine</w:t>
      </w:r>
      <w:r>
        <w:rPr>
          <w:spacing w:val="-2"/>
        </w:rPr>
        <w:t> </w:t>
      </w:r>
      <w:r>
        <w:rPr/>
        <w:t>Meh</w:t>
      </w:r>
      <w:r>
        <w:rPr>
          <w:vertAlign w:val="superscript"/>
        </w:rPr>
        <w:t>1</w:t>
      </w:r>
      <w:r>
        <w:rPr>
          <w:vertAlign w:val="baseline"/>
        </w:rPr>
        <w:t>,</w:t>
      </w:r>
      <w:r>
        <w:rPr>
          <w:spacing w:val="-1"/>
          <w:vertAlign w:val="baseline"/>
        </w:rPr>
        <w:t> </w:t>
      </w:r>
      <w:r>
        <w:rPr>
          <w:vertAlign w:val="baseline"/>
        </w:rPr>
        <w:t>Jasmeet Gill</w:t>
      </w:r>
      <w:r>
        <w:rPr>
          <w:vertAlign w:val="superscript"/>
        </w:rPr>
        <w:t>1</w:t>
      </w:r>
      <w:r>
        <w:rPr>
          <w:vertAlign w:val="baseline"/>
        </w:rPr>
        <w:t>,</w:t>
      </w:r>
      <w:r>
        <w:rPr>
          <w:spacing w:val="-1"/>
          <w:vertAlign w:val="baseline"/>
        </w:rPr>
        <w:t> </w:t>
      </w:r>
      <w:r>
        <w:rPr>
          <w:vertAlign w:val="baseline"/>
        </w:rPr>
        <w:t>and</w:t>
      </w:r>
      <w:r>
        <w:rPr>
          <w:spacing w:val="-1"/>
          <w:vertAlign w:val="baseline"/>
        </w:rPr>
        <w:t> </w:t>
      </w:r>
      <w:r>
        <w:rPr>
          <w:vertAlign w:val="baseline"/>
        </w:rPr>
        <w:t>Danny</w:t>
      </w:r>
      <w:r>
        <w:rPr>
          <w:spacing w:val="-5"/>
          <w:vertAlign w:val="baseline"/>
        </w:rPr>
        <w:t> </w:t>
      </w:r>
      <w:r>
        <w:rPr>
          <w:vertAlign w:val="baseline"/>
        </w:rPr>
        <w:t>H.</w:t>
      </w:r>
      <w:r>
        <w:rPr>
          <w:spacing w:val="-1"/>
          <w:vertAlign w:val="baseline"/>
        </w:rPr>
        <w:t> </w:t>
      </w:r>
      <w:r>
        <w:rPr>
          <w:spacing w:val="-5"/>
          <w:vertAlign w:val="baseline"/>
        </w:rPr>
        <w:t>Kim</w:t>
      </w:r>
    </w:p>
    <w:p>
      <w:pPr>
        <w:pStyle w:val="BodyText"/>
        <w:spacing w:before="230"/>
        <w:rPr>
          <w:sz w:val="24"/>
        </w:rPr>
      </w:pPr>
    </w:p>
    <w:p>
      <w:pPr>
        <w:spacing w:before="0"/>
        <w:ind w:left="64" w:right="384" w:firstLine="0"/>
        <w:jc w:val="center"/>
        <w:rPr>
          <w:i/>
          <w:sz w:val="24"/>
        </w:rPr>
      </w:pPr>
      <w:r>
        <w:rPr>
          <w:i/>
          <w:sz w:val="24"/>
          <w:vertAlign w:val="superscript"/>
        </w:rPr>
        <w:t>1</w:t>
      </w:r>
      <w:r>
        <w:rPr>
          <w:i/>
          <w:sz w:val="24"/>
          <w:vertAlign w:val="baseline"/>
        </w:rPr>
        <w:t>California</w:t>
      </w:r>
      <w:r>
        <w:rPr>
          <w:i/>
          <w:spacing w:val="-2"/>
          <w:sz w:val="24"/>
          <w:vertAlign w:val="baseline"/>
        </w:rPr>
        <w:t> </w:t>
      </w:r>
      <w:r>
        <w:rPr>
          <w:i/>
          <w:sz w:val="24"/>
          <w:vertAlign w:val="baseline"/>
        </w:rPr>
        <w:t>State</w:t>
      </w:r>
      <w:r>
        <w:rPr>
          <w:i/>
          <w:spacing w:val="-2"/>
          <w:sz w:val="24"/>
          <w:vertAlign w:val="baseline"/>
        </w:rPr>
        <w:t> </w:t>
      </w:r>
      <w:r>
        <w:rPr>
          <w:i/>
          <w:sz w:val="24"/>
          <w:vertAlign w:val="baseline"/>
        </w:rPr>
        <w:t>University,</w:t>
      </w:r>
      <w:r>
        <w:rPr>
          <w:i/>
          <w:spacing w:val="-2"/>
          <w:sz w:val="24"/>
          <w:vertAlign w:val="baseline"/>
        </w:rPr>
        <w:t> Fullerton</w:t>
      </w:r>
    </w:p>
    <w:p>
      <w:pPr>
        <w:pStyle w:val="Heading2"/>
        <w:spacing w:before="259"/>
        <w:ind w:left="0" w:right="319"/>
        <w:jc w:val="center"/>
      </w:pPr>
      <w:bookmarkStart w:name="Abstract" w:id="1"/>
      <w:bookmarkEnd w:id="1"/>
      <w:r>
        <w:rPr>
          <w:b w:val="0"/>
        </w:rPr>
      </w:r>
      <w:r>
        <w:rPr>
          <w:spacing w:val="-2"/>
        </w:rPr>
        <w:t>Abstract</w:t>
      </w:r>
    </w:p>
    <w:p>
      <w:pPr>
        <w:pStyle w:val="BodyText"/>
        <w:spacing w:before="121"/>
        <w:ind w:left="239" w:right="554"/>
        <w:jc w:val="both"/>
      </w:pPr>
      <w:r>
        <w:rPr>
          <w:b/>
        </w:rPr>
        <w:t>Purpose and Background</w:t>
      </w:r>
      <w:r>
        <w:rPr/>
        <w:t>: African Americans, in comparison to other ethnic groups, are often</w:t>
      </w:r>
      <w:r>
        <w:rPr>
          <w:spacing w:val="80"/>
        </w:rPr>
        <w:t> </w:t>
      </w:r>
      <w:r>
        <w:rPr/>
        <w:t>diagnosed with melanoma at advanced stages, resulting in low survival rates. One of the strongest risk factors for all types of skin cancer is exposure to UV radiation from the sun. UV ray intensity is</w:t>
      </w:r>
      <w:r>
        <w:rPr>
          <w:spacing w:val="40"/>
        </w:rPr>
        <w:t> </w:t>
      </w:r>
      <w:r>
        <w:rPr/>
        <w:t>associated with latitude; lower latitudes have stronger UV rays than higher latitudes.</w:t>
      </w:r>
      <w:r>
        <w:rPr>
          <w:spacing w:val="-2"/>
        </w:rPr>
        <w:t> </w:t>
      </w:r>
      <w:r>
        <w:rPr/>
        <w:t>This study examines and compares the knowledge, attitude, and protective behavior toward skin cancer among United States African American college students who live in two different latitudes, Maryland</w:t>
      </w:r>
      <w:r>
        <w:rPr>
          <w:spacing w:val="40"/>
        </w:rPr>
        <w:t> </w:t>
      </w:r>
      <w:r>
        <w:rPr/>
        <w:t>and southern California. </w:t>
      </w:r>
      <w:r>
        <w:rPr>
          <w:b/>
        </w:rPr>
        <w:t>Methods</w:t>
      </w:r>
      <w:r>
        <w:rPr/>
        <w:t>: We surveyed 360 African American students from two major universities in southern</w:t>
      </w:r>
      <w:r>
        <w:rPr>
          <w:spacing w:val="40"/>
        </w:rPr>
        <w:t> </w:t>
      </w:r>
      <w:r>
        <w:rPr/>
        <w:t>California and Maryland.</w:t>
      </w:r>
      <w:r>
        <w:rPr>
          <w:spacing w:val="40"/>
        </w:rPr>
        <w:t> </w:t>
      </w:r>
      <w:r>
        <w:rPr/>
        <w:t>Students were asked to fill out questionnaires that assessed their knowledge, attitude, and protective behavior regarding sun exposure. </w:t>
      </w:r>
      <w:r>
        <w:rPr>
          <w:b/>
        </w:rPr>
        <w:t>Results</w:t>
      </w:r>
      <w:r>
        <w:rPr/>
        <w:t>: More African American students from Maryland knew</w:t>
      </w:r>
      <w:r>
        <w:rPr>
          <w:spacing w:val="-1"/>
        </w:rPr>
        <w:t> </w:t>
      </w:r>
      <w:r>
        <w:rPr/>
        <w:t>the direct link between UV/sun radiation exposure and the occurrence of skin cancer (</w:t>
      </w:r>
      <w:r>
        <w:rPr>
          <w:i/>
        </w:rPr>
        <w:t>p </w:t>
      </w:r>
      <w:r>
        <w:rPr/>
        <w:t>= 0.02), while those from California were significantly more knowledgeable about skin cancer risk factors such as sunbathing without sunscreen (</w:t>
      </w:r>
      <w:r>
        <w:rPr>
          <w:i/>
        </w:rPr>
        <w:t>p </w:t>
      </w:r>
      <w:r>
        <w:rPr/>
        <w:t>≤ 0.001). Although students from Maryland were more concerned that exposure to the sun may give them skin cancer (</w:t>
      </w:r>
      <w:r>
        <w:rPr>
          <w:i/>
        </w:rPr>
        <w:t>p </w:t>
      </w:r>
      <w:r>
        <w:rPr/>
        <w:t>= 0.003) and more worried about the possibility of skin cancer (</w:t>
      </w:r>
      <w:r>
        <w:rPr>
          <w:i/>
        </w:rPr>
        <w:t>p </w:t>
      </w:r>
      <w:r>
        <w:rPr/>
        <w:t>&lt; 0.001), they were less likely to engage in sun protection behaviors such as using</w:t>
      </w:r>
      <w:r>
        <w:rPr>
          <w:spacing w:val="-2"/>
        </w:rPr>
        <w:t> </w:t>
      </w:r>
      <w:r>
        <w:rPr/>
        <w:t>sunscreen</w:t>
      </w:r>
      <w:r>
        <w:rPr>
          <w:spacing w:val="-2"/>
        </w:rPr>
        <w:t> </w:t>
      </w:r>
      <w:r>
        <w:rPr/>
        <w:t>(</w:t>
      </w:r>
      <w:r>
        <w:rPr>
          <w:i/>
        </w:rPr>
        <w:t>p </w:t>
      </w:r>
      <w:r>
        <w:rPr/>
        <w:t>=</w:t>
      </w:r>
      <w:r>
        <w:rPr>
          <w:spacing w:val="-2"/>
        </w:rPr>
        <w:t> </w:t>
      </w:r>
      <w:r>
        <w:rPr/>
        <w:t>0.001). </w:t>
      </w:r>
      <w:r>
        <w:rPr>
          <w:b/>
        </w:rPr>
        <w:t>Conclusion</w:t>
      </w:r>
      <w:r>
        <w:rPr/>
        <w:t>: Based on</w:t>
      </w:r>
      <w:r>
        <w:rPr>
          <w:spacing w:val="-2"/>
        </w:rPr>
        <w:t> </w:t>
      </w:r>
      <w:r>
        <w:rPr/>
        <w:t>this study, efforts to increase</w:t>
      </w:r>
      <w:r>
        <w:rPr>
          <w:spacing w:val="-2"/>
        </w:rPr>
        <w:t> </w:t>
      </w:r>
      <w:r>
        <w:rPr/>
        <w:t>sun protective behaviors through education regarding skin cancer risk factors in Maryland are warranted.</w:t>
      </w:r>
    </w:p>
    <w:p>
      <w:pPr>
        <w:pStyle w:val="BodyText"/>
      </w:pPr>
    </w:p>
    <w:p>
      <w:pPr>
        <w:spacing w:before="0"/>
        <w:ind w:left="240" w:right="0" w:firstLine="0"/>
        <w:jc w:val="both"/>
        <w:rPr>
          <w:sz w:val="20"/>
        </w:rPr>
      </w:pPr>
      <w:r>
        <w:rPr>
          <w:sz w:val="20"/>
        </w:rPr>
        <w:t>©</w:t>
      </w:r>
      <w:r>
        <w:rPr>
          <w:spacing w:val="-6"/>
          <w:sz w:val="20"/>
        </w:rPr>
        <w:t> </w:t>
      </w:r>
      <w:r>
        <w:rPr>
          <w:sz w:val="20"/>
        </w:rPr>
        <w:t>2013</w:t>
      </w:r>
      <w:r>
        <w:rPr>
          <w:spacing w:val="-5"/>
          <w:sz w:val="20"/>
        </w:rPr>
        <w:t> </w:t>
      </w:r>
      <w:r>
        <w:rPr>
          <w:sz w:val="20"/>
        </w:rPr>
        <w:t>Californian</w:t>
      </w:r>
      <w:r>
        <w:rPr>
          <w:spacing w:val="-7"/>
          <w:sz w:val="20"/>
        </w:rPr>
        <w:t> </w:t>
      </w:r>
      <w:r>
        <w:rPr>
          <w:sz w:val="20"/>
        </w:rPr>
        <w:t>Journal</w:t>
      </w:r>
      <w:r>
        <w:rPr>
          <w:spacing w:val="-6"/>
          <w:sz w:val="20"/>
        </w:rPr>
        <w:t> </w:t>
      </w:r>
      <w:r>
        <w:rPr>
          <w:sz w:val="20"/>
        </w:rPr>
        <w:t>of</w:t>
      </w:r>
      <w:r>
        <w:rPr>
          <w:spacing w:val="-5"/>
          <w:sz w:val="20"/>
        </w:rPr>
        <w:t> </w:t>
      </w:r>
      <w:r>
        <w:rPr>
          <w:sz w:val="20"/>
        </w:rPr>
        <w:t>Health</w:t>
      </w:r>
      <w:r>
        <w:rPr>
          <w:spacing w:val="-6"/>
          <w:sz w:val="20"/>
        </w:rPr>
        <w:t> </w:t>
      </w:r>
      <w:r>
        <w:rPr>
          <w:sz w:val="20"/>
        </w:rPr>
        <w:t>Promotion.</w:t>
      </w:r>
      <w:r>
        <w:rPr>
          <w:spacing w:val="-4"/>
          <w:sz w:val="20"/>
        </w:rPr>
        <w:t> </w:t>
      </w:r>
      <w:r>
        <w:rPr>
          <w:sz w:val="20"/>
        </w:rPr>
        <w:t>All</w:t>
      </w:r>
      <w:r>
        <w:rPr>
          <w:spacing w:val="-5"/>
          <w:sz w:val="20"/>
        </w:rPr>
        <w:t> </w:t>
      </w:r>
      <w:r>
        <w:rPr>
          <w:sz w:val="20"/>
        </w:rPr>
        <w:t>rights</w:t>
      </w:r>
      <w:r>
        <w:rPr>
          <w:spacing w:val="-7"/>
          <w:sz w:val="20"/>
        </w:rPr>
        <w:t> </w:t>
      </w:r>
      <w:r>
        <w:rPr>
          <w:spacing w:val="-2"/>
          <w:sz w:val="20"/>
        </w:rPr>
        <w:t>reserved.</w:t>
      </w:r>
    </w:p>
    <w:p>
      <w:pPr>
        <w:spacing w:before="0"/>
        <w:ind w:left="239" w:right="0" w:firstLine="0"/>
        <w:jc w:val="both"/>
        <w:rPr>
          <w:i/>
          <w:sz w:val="20"/>
        </w:rPr>
      </w:pPr>
      <w:r>
        <w:rPr>
          <w:i/>
          <w:sz w:val="20"/>
        </w:rPr>
        <w:t>Keywords:</w:t>
      </w:r>
      <w:r>
        <w:rPr>
          <w:i/>
          <w:spacing w:val="-8"/>
          <w:sz w:val="20"/>
        </w:rPr>
        <w:t> </w:t>
      </w:r>
      <w:r>
        <w:rPr>
          <w:i/>
          <w:sz w:val="20"/>
        </w:rPr>
        <w:t>Skin</w:t>
      </w:r>
      <w:r>
        <w:rPr>
          <w:i/>
          <w:spacing w:val="-7"/>
          <w:sz w:val="20"/>
        </w:rPr>
        <w:t> </w:t>
      </w:r>
      <w:r>
        <w:rPr>
          <w:i/>
          <w:sz w:val="20"/>
        </w:rPr>
        <w:t>cancer,</w:t>
      </w:r>
      <w:r>
        <w:rPr>
          <w:i/>
          <w:spacing w:val="-8"/>
          <w:sz w:val="20"/>
        </w:rPr>
        <w:t> </w:t>
      </w:r>
      <w:r>
        <w:rPr>
          <w:i/>
          <w:sz w:val="20"/>
        </w:rPr>
        <w:t>African</w:t>
      </w:r>
      <w:r>
        <w:rPr>
          <w:i/>
          <w:spacing w:val="-7"/>
          <w:sz w:val="20"/>
        </w:rPr>
        <w:t> </w:t>
      </w:r>
      <w:r>
        <w:rPr>
          <w:i/>
          <w:sz w:val="20"/>
        </w:rPr>
        <w:t>Americans,</w:t>
      </w:r>
      <w:r>
        <w:rPr>
          <w:i/>
          <w:spacing w:val="-8"/>
          <w:sz w:val="20"/>
        </w:rPr>
        <w:t> </w:t>
      </w:r>
      <w:r>
        <w:rPr>
          <w:i/>
          <w:sz w:val="20"/>
        </w:rPr>
        <w:t>Melanoma,</w:t>
      </w:r>
      <w:r>
        <w:rPr>
          <w:i/>
          <w:spacing w:val="-7"/>
          <w:sz w:val="20"/>
        </w:rPr>
        <w:t> </w:t>
      </w:r>
      <w:r>
        <w:rPr>
          <w:i/>
          <w:sz w:val="20"/>
        </w:rPr>
        <w:t>Knowledge,</w:t>
      </w:r>
      <w:r>
        <w:rPr>
          <w:i/>
          <w:spacing w:val="-8"/>
          <w:sz w:val="20"/>
        </w:rPr>
        <w:t> </w:t>
      </w:r>
      <w:r>
        <w:rPr>
          <w:i/>
          <w:sz w:val="20"/>
        </w:rPr>
        <w:t>Attitude,</w:t>
      </w:r>
      <w:r>
        <w:rPr>
          <w:i/>
          <w:spacing w:val="-7"/>
          <w:sz w:val="20"/>
        </w:rPr>
        <w:t> </w:t>
      </w:r>
      <w:r>
        <w:rPr>
          <w:i/>
          <w:sz w:val="20"/>
        </w:rPr>
        <w:t>Protective</w:t>
      </w:r>
      <w:r>
        <w:rPr>
          <w:i/>
          <w:spacing w:val="-8"/>
          <w:sz w:val="20"/>
        </w:rPr>
        <w:t> </w:t>
      </w:r>
      <w:r>
        <w:rPr>
          <w:i/>
          <w:spacing w:val="-2"/>
          <w:sz w:val="20"/>
        </w:rPr>
        <w:t>Behaviors</w:t>
      </w:r>
    </w:p>
    <w:p>
      <w:pPr>
        <w:pStyle w:val="BodyText"/>
        <w:spacing w:before="1"/>
        <w:rPr>
          <w:i/>
          <w:sz w:val="12"/>
        </w:rPr>
      </w:pPr>
    </w:p>
    <w:p>
      <w:pPr>
        <w:spacing w:after="0"/>
        <w:rPr>
          <w:sz w:val="12"/>
        </w:rPr>
        <w:sectPr>
          <w:headerReference w:type="default" r:id="rId5"/>
          <w:footerReference w:type="default" r:id="rId6"/>
          <w:type w:val="continuous"/>
          <w:pgSz w:w="12240" w:h="15840"/>
          <w:pgMar w:header="699" w:footer="1070" w:top="1340" w:bottom="1260" w:left="1200" w:right="880"/>
          <w:pgNumType w:start="25"/>
        </w:sectPr>
      </w:pPr>
    </w:p>
    <w:p>
      <w:pPr>
        <w:pStyle w:val="Heading2"/>
        <w:spacing w:before="98"/>
        <w:ind w:left="196"/>
        <w:jc w:val="center"/>
      </w:pPr>
      <w:r>
        <w:rPr>
          <w:spacing w:val="-2"/>
        </w:rPr>
        <w:t>Introduction</w:t>
      </w:r>
    </w:p>
    <w:p>
      <w:pPr>
        <w:pStyle w:val="BodyText"/>
        <w:rPr>
          <w:b/>
        </w:rPr>
      </w:pPr>
    </w:p>
    <w:p>
      <w:pPr>
        <w:spacing w:before="0"/>
        <w:ind w:left="240" w:right="38" w:firstLine="0"/>
        <w:jc w:val="both"/>
        <w:rPr>
          <w:b/>
          <w:sz w:val="22"/>
        </w:rPr>
      </w:pPr>
      <w:r>
        <w:rPr>
          <w:b/>
          <w:sz w:val="22"/>
        </w:rPr>
        <w:t>Skin Cancer and African</w:t>
      </w:r>
      <w:r>
        <w:rPr>
          <w:b/>
          <w:spacing w:val="-1"/>
          <w:sz w:val="22"/>
        </w:rPr>
        <w:t> </w:t>
      </w:r>
      <w:r>
        <w:rPr>
          <w:b/>
          <w:sz w:val="22"/>
        </w:rPr>
        <w:t>Americans – Health </w:t>
      </w:r>
      <w:r>
        <w:rPr>
          <w:b/>
          <w:spacing w:val="-2"/>
          <w:sz w:val="22"/>
        </w:rPr>
        <w:t>Disparities</w:t>
      </w:r>
    </w:p>
    <w:p>
      <w:pPr>
        <w:pStyle w:val="BodyText"/>
        <w:ind w:left="239" w:right="38"/>
        <w:jc w:val="both"/>
      </w:pPr>
      <w:r>
        <w:rPr/>
        <w:t>African Americans perceive themselves to be at low risk of melanoma because they have high levels of melanin, a dark pigment that absorbs ultraviolet (UV) radiation (Pichon, Corral, Landrine, Mayer, &amp; Adams-Simms, 2010; Halder &amp; Bridgeman-Shah, 1995; Nadiminti, Rakkhit, &amp; Washington, 2004). Although melanin is a major protective physiological barrier in skin damage due to UV radiation, it does not prevent skin cancer (Halder &amp; Bridgeman-Shah, 1995). Research shows that every skin type, regardless of pigment, is susceptible to skin cancer (Beech, Harb, &amp;</w:t>
      </w:r>
      <w:r>
        <w:rPr>
          <w:spacing w:val="80"/>
        </w:rPr>
        <w:t> </w:t>
      </w:r>
      <w:r>
        <w:rPr/>
        <w:t>Reed,</w:t>
      </w:r>
      <w:r>
        <w:rPr>
          <w:spacing w:val="-4"/>
        </w:rPr>
        <w:t> </w:t>
      </w:r>
      <w:r>
        <w:rPr/>
        <w:t>2004;</w:t>
      </w:r>
      <w:r>
        <w:rPr>
          <w:spacing w:val="-6"/>
        </w:rPr>
        <w:t> </w:t>
      </w:r>
      <w:r>
        <w:rPr/>
        <w:t>Jackson,</w:t>
      </w:r>
      <w:r>
        <w:rPr>
          <w:spacing w:val="-4"/>
        </w:rPr>
        <w:t> </w:t>
      </w:r>
      <w:r>
        <w:rPr/>
        <w:t>2010).</w:t>
      </w:r>
      <w:r>
        <w:rPr>
          <w:spacing w:val="-4"/>
        </w:rPr>
        <w:t> </w:t>
      </w:r>
      <w:r>
        <w:rPr/>
        <w:t>Even</w:t>
      </w:r>
      <w:r>
        <w:rPr>
          <w:spacing w:val="-4"/>
        </w:rPr>
        <w:t> </w:t>
      </w:r>
      <w:r>
        <w:rPr/>
        <w:t>in</w:t>
      </w:r>
      <w:r>
        <w:rPr>
          <w:spacing w:val="-4"/>
        </w:rPr>
        <w:t> </w:t>
      </w:r>
      <w:r>
        <w:rPr/>
        <w:t>people</w:t>
      </w:r>
      <w:r>
        <w:rPr>
          <w:spacing w:val="-4"/>
        </w:rPr>
        <w:t> </w:t>
      </w:r>
      <w:r>
        <w:rPr/>
        <w:t>with darker skin, like African Americans, recent exposure</w:t>
      </w:r>
      <w:r>
        <w:rPr>
          <w:spacing w:val="-5"/>
        </w:rPr>
        <w:t> </w:t>
      </w:r>
      <w:r>
        <w:rPr/>
        <w:t>to</w:t>
      </w:r>
      <w:r>
        <w:rPr>
          <w:spacing w:val="-3"/>
        </w:rPr>
        <w:t> </w:t>
      </w:r>
      <w:r>
        <w:rPr/>
        <w:t>the</w:t>
      </w:r>
      <w:r>
        <w:rPr>
          <w:spacing w:val="-3"/>
        </w:rPr>
        <w:t> </w:t>
      </w:r>
      <w:r>
        <w:rPr/>
        <w:t>sun</w:t>
      </w:r>
      <w:r>
        <w:rPr>
          <w:spacing w:val="-6"/>
        </w:rPr>
        <w:t> </w:t>
      </w:r>
      <w:r>
        <w:rPr/>
        <w:t>increases</w:t>
      </w:r>
      <w:r>
        <w:rPr>
          <w:spacing w:val="-3"/>
        </w:rPr>
        <w:t> </w:t>
      </w:r>
      <w:r>
        <w:rPr/>
        <w:t>epidermal</w:t>
      </w:r>
      <w:r>
        <w:rPr>
          <w:spacing w:val="-2"/>
        </w:rPr>
        <w:t> melanin,</w:t>
      </w:r>
    </w:p>
    <w:p>
      <w:pPr>
        <w:pStyle w:val="BodyText"/>
        <w:spacing w:before="92"/>
        <w:ind w:left="240" w:right="558"/>
        <w:jc w:val="both"/>
      </w:pPr>
      <w:r>
        <w:rPr/>
        <w:br w:type="column"/>
      </w:r>
      <w:r>
        <w:rPr/>
        <w:t>which indicates UV damage to the skin (CDC, </w:t>
      </w:r>
      <w:r>
        <w:rPr>
          <w:spacing w:val="-2"/>
        </w:rPr>
        <w:t>2010a).</w:t>
      </w:r>
    </w:p>
    <w:p>
      <w:pPr>
        <w:pStyle w:val="BodyText"/>
        <w:spacing w:before="252"/>
        <w:ind w:left="239" w:right="554"/>
        <w:jc w:val="both"/>
      </w:pPr>
      <w:r>
        <w:rPr/>
        <w:t>Unfortunately, skin cancer health disparities</w:t>
      </w:r>
      <w:r>
        <w:rPr>
          <w:spacing w:val="40"/>
        </w:rPr>
        <w:t> </w:t>
      </w:r>
      <w:r>
        <w:rPr/>
        <w:t>exist in the United States. Minority groups, particularly non-Hispanic black or African Americans, experience skin cancer disproportionately, especially with regards to prognosis (Coups, Manne, &amp; Heckman, 2008; Hu, Parker, Thomas, &amp; Kirsner, 2004; Shoo &amp; Kashani-Sabet, 2009; Wich et al., 2010). Although Caucasians are more likely to be diagnosed with melanoma (27.3/100,000) than African Americans (1.1/100,000), African Americans are more likely to die from the disease (CDC, 2010b); Caucasians have 84.8% survival</w:t>
      </w:r>
      <w:r>
        <w:rPr>
          <w:spacing w:val="-1"/>
        </w:rPr>
        <w:t> </w:t>
      </w:r>
      <w:r>
        <w:rPr/>
        <w:t>rate,</w:t>
      </w:r>
      <w:r>
        <w:rPr>
          <w:spacing w:val="-2"/>
        </w:rPr>
        <w:t> </w:t>
      </w:r>
      <w:r>
        <w:rPr/>
        <w:t>compared</w:t>
      </w:r>
      <w:r>
        <w:rPr>
          <w:spacing w:val="-4"/>
        </w:rPr>
        <w:t> </w:t>
      </w:r>
      <w:r>
        <w:rPr/>
        <w:t>to</w:t>
      </w:r>
      <w:r>
        <w:rPr>
          <w:spacing w:val="-4"/>
        </w:rPr>
        <w:t> </w:t>
      </w:r>
      <w:r>
        <w:rPr/>
        <w:t>58.8%</w:t>
      </w:r>
      <w:r>
        <w:rPr>
          <w:spacing w:val="-1"/>
        </w:rPr>
        <w:t> </w:t>
      </w:r>
      <w:r>
        <w:rPr/>
        <w:t>among</w:t>
      </w:r>
      <w:r>
        <w:rPr>
          <w:spacing w:val="-4"/>
        </w:rPr>
        <w:t> </w:t>
      </w:r>
      <w:r>
        <w:rPr/>
        <w:t>African Americans (Rouhani, Hu, &amp; Kirsner, 2008). Furthermore, African Americans receive lower rates</w:t>
      </w:r>
      <w:r>
        <w:rPr>
          <w:spacing w:val="15"/>
        </w:rPr>
        <w:t> </w:t>
      </w:r>
      <w:r>
        <w:rPr/>
        <w:t>of</w:t>
      </w:r>
      <w:r>
        <w:rPr>
          <w:spacing w:val="17"/>
        </w:rPr>
        <w:t> </w:t>
      </w:r>
      <w:r>
        <w:rPr/>
        <w:t>routine</w:t>
      </w:r>
      <w:r>
        <w:rPr>
          <w:spacing w:val="16"/>
        </w:rPr>
        <w:t> </w:t>
      </w:r>
      <w:r>
        <w:rPr/>
        <w:t>skin</w:t>
      </w:r>
      <w:r>
        <w:rPr>
          <w:spacing w:val="16"/>
        </w:rPr>
        <w:t> </w:t>
      </w:r>
      <w:r>
        <w:rPr/>
        <w:t>cancer</w:t>
      </w:r>
      <w:r>
        <w:rPr>
          <w:spacing w:val="17"/>
        </w:rPr>
        <w:t> </w:t>
      </w:r>
      <w:r>
        <w:rPr/>
        <w:t>screening</w:t>
      </w:r>
      <w:r>
        <w:rPr>
          <w:spacing w:val="13"/>
        </w:rPr>
        <w:t> </w:t>
      </w:r>
      <w:r>
        <w:rPr>
          <w:spacing w:val="-2"/>
        </w:rPr>
        <w:t>compared</w:t>
      </w:r>
    </w:p>
    <w:p>
      <w:pPr>
        <w:spacing w:after="0"/>
        <w:jc w:val="both"/>
        <w:sectPr>
          <w:type w:val="continuous"/>
          <w:pgSz w:w="12240" w:h="15840"/>
          <w:pgMar w:header="699" w:footer="1070" w:top="1340" w:bottom="1260" w:left="1200" w:right="880"/>
          <w:cols w:num="2" w:equalWidth="0">
            <w:col w:w="4604" w:space="435"/>
            <w:col w:w="5121"/>
          </w:cols>
        </w:sectPr>
      </w:pPr>
    </w:p>
    <w:p>
      <w:pPr>
        <w:pStyle w:val="BodyText"/>
        <w:spacing w:before="84"/>
        <w:ind w:left="239" w:right="38"/>
        <w:jc w:val="both"/>
      </w:pPr>
      <w:r>
        <w:rPr/>
        <w:t>to Caucasians (49% and 57%, respectively) (Health Reform, 2011). This discrepancy is thought to be the result of several factors: the lack of healthcare insurance; lack of primary</w:t>
      </w:r>
      <w:r>
        <w:rPr>
          <w:spacing w:val="40"/>
        </w:rPr>
        <w:t> </w:t>
      </w:r>
      <w:r>
        <w:rPr/>
        <w:t>care providers for regular check-ups; poor communication with primary care providers, which limits access to preventive care and increases</w:t>
      </w:r>
      <w:r>
        <w:rPr>
          <w:spacing w:val="-3"/>
        </w:rPr>
        <w:t> </w:t>
      </w:r>
      <w:r>
        <w:rPr/>
        <w:t>the</w:t>
      </w:r>
      <w:r>
        <w:rPr>
          <w:spacing w:val="-3"/>
        </w:rPr>
        <w:t> </w:t>
      </w:r>
      <w:r>
        <w:rPr/>
        <w:t>rates</w:t>
      </w:r>
      <w:r>
        <w:rPr>
          <w:spacing w:val="-3"/>
        </w:rPr>
        <w:t> </w:t>
      </w:r>
      <w:r>
        <w:rPr/>
        <w:t>of</w:t>
      </w:r>
      <w:r>
        <w:rPr>
          <w:spacing w:val="-3"/>
        </w:rPr>
        <w:t> </w:t>
      </w:r>
      <w:r>
        <w:rPr/>
        <w:t>re-hospitalization;</w:t>
      </w:r>
      <w:r>
        <w:rPr>
          <w:spacing w:val="-3"/>
        </w:rPr>
        <w:t> </w:t>
      </w:r>
      <w:r>
        <w:rPr/>
        <w:t>low</w:t>
      </w:r>
      <w:r>
        <w:rPr>
          <w:spacing w:val="-5"/>
        </w:rPr>
        <w:t> </w:t>
      </w:r>
      <w:r>
        <w:rPr/>
        <w:t>skin cancer awareness levels; and lack of access to sunscreen products in African American communities (Health Reform, 2011)</w:t>
      </w:r>
    </w:p>
    <w:p>
      <w:pPr>
        <w:pStyle w:val="BodyText"/>
        <w:spacing w:before="4"/>
      </w:pPr>
    </w:p>
    <w:p>
      <w:pPr>
        <w:pStyle w:val="Heading2"/>
        <w:spacing w:line="250" w:lineRule="exact"/>
        <w:ind w:left="239"/>
        <w:jc w:val="both"/>
      </w:pPr>
      <w:r>
        <w:rPr/>
        <w:t>Skin</w:t>
      </w:r>
      <w:r>
        <w:rPr>
          <w:spacing w:val="-4"/>
        </w:rPr>
        <w:t> </w:t>
      </w:r>
      <w:r>
        <w:rPr/>
        <w:t>Cancer</w:t>
      </w:r>
      <w:r>
        <w:rPr>
          <w:spacing w:val="-4"/>
        </w:rPr>
        <w:t> </w:t>
      </w:r>
      <w:r>
        <w:rPr/>
        <w:t>in</w:t>
      </w:r>
      <w:r>
        <w:rPr>
          <w:spacing w:val="-4"/>
        </w:rPr>
        <w:t> </w:t>
      </w:r>
      <w:r>
        <w:rPr/>
        <w:t>African</w:t>
      </w:r>
      <w:r>
        <w:rPr>
          <w:spacing w:val="-4"/>
        </w:rPr>
        <w:t> </w:t>
      </w:r>
      <w:r>
        <w:rPr/>
        <w:t>American</w:t>
      </w:r>
      <w:r>
        <w:rPr>
          <w:spacing w:val="-3"/>
        </w:rPr>
        <w:t> </w:t>
      </w:r>
      <w:r>
        <w:rPr>
          <w:spacing w:val="-4"/>
        </w:rPr>
        <w:t>Skin</w:t>
      </w:r>
    </w:p>
    <w:p>
      <w:pPr>
        <w:pStyle w:val="BodyText"/>
        <w:ind w:left="239" w:right="38"/>
        <w:jc w:val="both"/>
      </w:pPr>
      <w:r>
        <w:rPr/>
        <w:t>The</w:t>
      </w:r>
      <w:r>
        <w:rPr>
          <w:spacing w:val="-1"/>
        </w:rPr>
        <w:t> </w:t>
      </w:r>
      <w:r>
        <w:rPr/>
        <w:t>symptoms and types of</w:t>
      </w:r>
      <w:r>
        <w:rPr>
          <w:spacing w:val="-1"/>
        </w:rPr>
        <w:t> </w:t>
      </w:r>
      <w:r>
        <w:rPr/>
        <w:t>skin cancers that</w:t>
      </w:r>
      <w:r>
        <w:rPr>
          <w:spacing w:val="-1"/>
        </w:rPr>
        <w:t> </w:t>
      </w:r>
      <w:r>
        <w:rPr/>
        <w:t>are often present in African Americans are different from the commonly identified skin cancers in other racial groups (Beech, Harb, &amp; Reed, 2004; Dollemore,</w:t>
      </w:r>
      <w:r>
        <w:rPr>
          <w:spacing w:val="-5"/>
        </w:rPr>
        <w:t> </w:t>
      </w:r>
      <w:r>
        <w:rPr/>
        <w:t>2004;</w:t>
      </w:r>
      <w:r>
        <w:rPr>
          <w:spacing w:val="-1"/>
        </w:rPr>
        <w:t> </w:t>
      </w:r>
      <w:r>
        <w:rPr/>
        <w:t>Shoo</w:t>
      </w:r>
      <w:r>
        <w:rPr>
          <w:spacing w:val="-2"/>
        </w:rPr>
        <w:t> </w:t>
      </w:r>
      <w:r>
        <w:rPr/>
        <w:t>&amp;</w:t>
      </w:r>
      <w:r>
        <w:rPr>
          <w:spacing w:val="-8"/>
        </w:rPr>
        <w:t> </w:t>
      </w:r>
      <w:r>
        <w:rPr/>
        <w:t>Kashani-Sabet,</w:t>
      </w:r>
      <w:r>
        <w:rPr>
          <w:spacing w:val="-2"/>
        </w:rPr>
        <w:t> </w:t>
      </w:r>
      <w:r>
        <w:rPr/>
        <w:t>2009). In African Americans, skin cancer often occurs in less pigmented areas (Gloster &amp; Neal, 2006), for instance, the palm of the hands, the skin beneath</w:t>
      </w:r>
      <w:r>
        <w:rPr>
          <w:spacing w:val="-4"/>
        </w:rPr>
        <w:t> </w:t>
      </w:r>
      <w:r>
        <w:rPr/>
        <w:t>finger</w:t>
      </w:r>
      <w:r>
        <w:rPr>
          <w:spacing w:val="-1"/>
        </w:rPr>
        <w:t> </w:t>
      </w:r>
      <w:r>
        <w:rPr/>
        <w:t>and</w:t>
      </w:r>
      <w:r>
        <w:rPr>
          <w:spacing w:val="-4"/>
        </w:rPr>
        <w:t> </w:t>
      </w:r>
      <w:r>
        <w:rPr/>
        <w:t>toe</w:t>
      </w:r>
      <w:r>
        <w:rPr>
          <w:spacing w:val="-4"/>
        </w:rPr>
        <w:t> </w:t>
      </w:r>
      <w:r>
        <w:rPr/>
        <w:t>nails,</w:t>
      </w:r>
      <w:r>
        <w:rPr>
          <w:spacing w:val="-2"/>
        </w:rPr>
        <w:t> </w:t>
      </w:r>
      <w:r>
        <w:rPr/>
        <w:t>the</w:t>
      </w:r>
      <w:r>
        <w:rPr>
          <w:spacing w:val="-1"/>
        </w:rPr>
        <w:t> </w:t>
      </w:r>
      <w:r>
        <w:rPr/>
        <w:t>soles</w:t>
      </w:r>
      <w:r>
        <w:rPr>
          <w:spacing w:val="-1"/>
        </w:rPr>
        <w:t> </w:t>
      </w:r>
      <w:r>
        <w:rPr/>
        <w:t>of</w:t>
      </w:r>
      <w:r>
        <w:rPr>
          <w:spacing w:val="-3"/>
        </w:rPr>
        <w:t> </w:t>
      </w:r>
      <w:r>
        <w:rPr/>
        <w:t>feet,</w:t>
      </w:r>
      <w:r>
        <w:rPr>
          <w:spacing w:val="-4"/>
        </w:rPr>
        <w:t> </w:t>
      </w:r>
      <w:r>
        <w:rPr/>
        <w:t>the mucous membranes of the mouth, and the nasal passages (Beech, Harb, &amp; Reed, 2004; Hutcheson, McGowan, Maize, &amp; Cook, 2007). The annual skin cancer incidence rate in African Americans in the United States is 1/100,000 for melanoma (Gloster &amp; Neal, 2006; Skin Cancer Foundation, 2010). Melanoma occurrence in African Americans is linked with sun exposure (Pichon, 2009; Shoo &amp; Kashani-Sabet, 2009; Yamaguchi, Beer, &amp; Hearing, 2007). About</w:t>
      </w:r>
      <w:r>
        <w:rPr>
          <w:spacing w:val="80"/>
        </w:rPr>
        <w:t> </w:t>
      </w:r>
      <w:r>
        <w:rPr/>
        <w:t>65% of all melanoma cases are attributed to UV radiation from</w:t>
      </w:r>
      <w:r>
        <w:rPr>
          <w:spacing w:val="-1"/>
        </w:rPr>
        <w:t> </w:t>
      </w:r>
      <w:r>
        <w:rPr/>
        <w:t>the sun (Skin Cancer Foundation, </w:t>
      </w:r>
      <w:r>
        <w:rPr>
          <w:spacing w:val="-2"/>
        </w:rPr>
        <w:t>2010).</w:t>
      </w:r>
    </w:p>
    <w:p>
      <w:pPr>
        <w:pStyle w:val="BodyText"/>
        <w:spacing w:before="2"/>
      </w:pPr>
    </w:p>
    <w:p>
      <w:pPr>
        <w:pStyle w:val="Heading2"/>
        <w:spacing w:before="1"/>
        <w:ind w:left="239" w:right="38" w:hanging="1"/>
        <w:jc w:val="both"/>
      </w:pPr>
      <w:r>
        <w:rPr/>
        <w:t>Skin Cancer Rates in Two Regions with Variable Sun Intensities: California and </w:t>
      </w:r>
      <w:r>
        <w:rPr>
          <w:spacing w:val="-2"/>
        </w:rPr>
        <w:t>Maryland</w:t>
      </w:r>
    </w:p>
    <w:p>
      <w:pPr>
        <w:pStyle w:val="BodyText"/>
        <w:ind w:left="239" w:right="38"/>
        <w:jc w:val="both"/>
      </w:pPr>
      <w:r>
        <w:rPr/>
        <w:t>Geographic</w:t>
      </w:r>
      <w:r>
        <w:rPr>
          <w:spacing w:val="-4"/>
        </w:rPr>
        <w:t> </w:t>
      </w:r>
      <w:r>
        <w:rPr/>
        <w:t>variability</w:t>
      </w:r>
      <w:r>
        <w:rPr>
          <w:spacing w:val="-4"/>
        </w:rPr>
        <w:t> </w:t>
      </w:r>
      <w:r>
        <w:rPr/>
        <w:t>in</w:t>
      </w:r>
      <w:r>
        <w:rPr>
          <w:spacing w:val="-4"/>
        </w:rPr>
        <w:t> </w:t>
      </w:r>
      <w:r>
        <w:rPr/>
        <w:t>sun</w:t>
      </w:r>
      <w:r>
        <w:rPr>
          <w:spacing w:val="-2"/>
        </w:rPr>
        <w:t> </w:t>
      </w:r>
      <w:r>
        <w:rPr/>
        <w:t>intensity</w:t>
      </w:r>
      <w:r>
        <w:rPr>
          <w:spacing w:val="-4"/>
        </w:rPr>
        <w:t> </w:t>
      </w:r>
      <w:r>
        <w:rPr/>
        <w:t>is</w:t>
      </w:r>
      <w:r>
        <w:rPr>
          <w:spacing w:val="-4"/>
        </w:rPr>
        <w:t> </w:t>
      </w:r>
      <w:r>
        <w:rPr/>
        <w:t>a</w:t>
      </w:r>
      <w:r>
        <w:rPr>
          <w:spacing w:val="-1"/>
        </w:rPr>
        <w:t> </w:t>
      </w:r>
      <w:r>
        <w:rPr/>
        <w:t>major contributing factor to the occurrence of skin cancer in different regions of the United States (Cicarma et al., 2009; Hu, Parker, Thomas, &amp; Kirsner, 2004). Sun rays closest to the equator are more intense than sun rays in places further from the equator, and UV indices vary significantly between northern and southern states in the United States (Qureshi, Laden, Colditz, &amp; Hunter, 2008). For example, California, especially southern California, is exposed</w:t>
      </w:r>
      <w:r>
        <w:rPr>
          <w:spacing w:val="33"/>
        </w:rPr>
        <w:t> </w:t>
      </w:r>
      <w:r>
        <w:rPr/>
        <w:t>to</w:t>
      </w:r>
      <w:r>
        <w:rPr>
          <w:spacing w:val="34"/>
        </w:rPr>
        <w:t> </w:t>
      </w:r>
      <w:r>
        <w:rPr/>
        <w:t>more</w:t>
      </w:r>
      <w:r>
        <w:rPr>
          <w:spacing w:val="34"/>
        </w:rPr>
        <w:t> </w:t>
      </w:r>
      <w:r>
        <w:rPr/>
        <w:t>intense</w:t>
      </w:r>
      <w:r>
        <w:rPr>
          <w:spacing w:val="34"/>
        </w:rPr>
        <w:t> </w:t>
      </w:r>
      <w:r>
        <w:rPr/>
        <w:t>sunlight</w:t>
      </w:r>
      <w:r>
        <w:rPr>
          <w:spacing w:val="35"/>
        </w:rPr>
        <w:t> </w:t>
      </w:r>
      <w:r>
        <w:rPr/>
        <w:t>and</w:t>
      </w:r>
      <w:r>
        <w:rPr>
          <w:spacing w:val="34"/>
        </w:rPr>
        <w:t> </w:t>
      </w:r>
      <w:r>
        <w:rPr/>
        <w:t>UV</w:t>
      </w:r>
      <w:r>
        <w:rPr>
          <w:spacing w:val="35"/>
        </w:rPr>
        <w:t> </w:t>
      </w:r>
      <w:r>
        <w:rPr>
          <w:spacing w:val="-4"/>
        </w:rPr>
        <w:t>rays</w:t>
      </w:r>
    </w:p>
    <w:p>
      <w:pPr>
        <w:pStyle w:val="BodyText"/>
        <w:tabs>
          <w:tab w:pos="782" w:val="left" w:leader="none"/>
          <w:tab w:pos="969" w:val="left" w:leader="none"/>
          <w:tab w:pos="1012" w:val="left" w:leader="none"/>
          <w:tab w:pos="1396" w:val="left" w:leader="none"/>
          <w:tab w:pos="1530" w:val="left" w:leader="none"/>
          <w:tab w:pos="1679" w:val="left" w:leader="none"/>
          <w:tab w:pos="2318" w:val="left" w:leader="none"/>
          <w:tab w:pos="2538" w:val="left" w:leader="none"/>
          <w:tab w:pos="2682" w:val="left" w:leader="none"/>
          <w:tab w:pos="3100" w:val="left" w:leader="none"/>
          <w:tab w:pos="3299" w:val="left" w:leader="none"/>
          <w:tab w:pos="3902" w:val="left" w:leader="none"/>
          <w:tab w:pos="4242" w:val="left" w:leader="none"/>
        </w:tabs>
        <w:spacing w:before="81"/>
        <w:ind w:left="239" w:right="467"/>
      </w:pPr>
      <w:r>
        <w:rPr/>
        <w:br w:type="column"/>
      </w:r>
      <w:r>
        <w:rPr/>
        <w:t>compared to Maryland (Qureshi, Laden, Colditz, &amp;</w:t>
      </w:r>
      <w:r>
        <w:rPr>
          <w:spacing w:val="40"/>
        </w:rPr>
        <w:t> </w:t>
      </w:r>
      <w:r>
        <w:rPr/>
        <w:t>Hunter,</w:t>
      </w:r>
      <w:r>
        <w:rPr>
          <w:spacing w:val="40"/>
        </w:rPr>
        <w:t> </w:t>
      </w:r>
      <w:r>
        <w:rPr/>
        <w:t>2008).</w:t>
      </w:r>
      <w:r>
        <w:rPr>
          <w:spacing w:val="40"/>
        </w:rPr>
        <w:t> </w:t>
      </w:r>
      <w:r>
        <w:rPr/>
        <w:t>California’s</w:t>
      </w:r>
      <w:r>
        <w:rPr>
          <w:spacing w:val="40"/>
        </w:rPr>
        <w:t> </w:t>
      </w:r>
      <w:r>
        <w:rPr/>
        <w:t>latitude</w:t>
      </w:r>
      <w:r>
        <w:rPr>
          <w:spacing w:val="40"/>
        </w:rPr>
        <w:t> </w:t>
      </w:r>
      <w:r>
        <w:rPr/>
        <w:t>ranges from 32° 30’ N to 42° 0’ N; the latitudes of Los Angeles</w:t>
      </w:r>
      <w:r>
        <w:rPr>
          <w:spacing w:val="37"/>
        </w:rPr>
        <w:t> </w:t>
      </w:r>
      <w:r>
        <w:rPr/>
        <w:t>and</w:t>
      </w:r>
      <w:r>
        <w:rPr>
          <w:spacing w:val="36"/>
        </w:rPr>
        <w:t> </w:t>
      </w:r>
      <w:r>
        <w:rPr/>
        <w:t>San</w:t>
      </w:r>
      <w:r>
        <w:rPr>
          <w:spacing w:val="36"/>
        </w:rPr>
        <w:t> </w:t>
      </w:r>
      <w:r>
        <w:rPr/>
        <w:t>Francisco</w:t>
      </w:r>
      <w:r>
        <w:rPr>
          <w:spacing w:val="36"/>
        </w:rPr>
        <w:t> </w:t>
      </w:r>
      <w:r>
        <w:rPr/>
        <w:t>County</w:t>
      </w:r>
      <w:r>
        <w:rPr>
          <w:spacing w:val="33"/>
        </w:rPr>
        <w:t> </w:t>
      </w:r>
      <w:r>
        <w:rPr/>
        <w:t>are</w:t>
      </w:r>
      <w:r>
        <w:rPr>
          <w:spacing w:val="33"/>
        </w:rPr>
        <w:t> </w:t>
      </w:r>
      <w:r>
        <w:rPr/>
        <w:t>34°</w:t>
      </w:r>
      <w:r>
        <w:rPr>
          <w:spacing w:val="33"/>
        </w:rPr>
        <w:t> </w:t>
      </w:r>
      <w:r>
        <w:rPr/>
        <w:t>03’ N</w:t>
      </w:r>
      <w:r>
        <w:rPr>
          <w:spacing w:val="40"/>
        </w:rPr>
        <w:t> </w:t>
      </w:r>
      <w:r>
        <w:rPr/>
        <w:t>and</w:t>
      </w:r>
      <w:r>
        <w:rPr>
          <w:spacing w:val="40"/>
        </w:rPr>
        <w:t> </w:t>
      </w:r>
      <w:r>
        <w:rPr/>
        <w:t>37°</w:t>
      </w:r>
      <w:r>
        <w:rPr>
          <w:spacing w:val="40"/>
        </w:rPr>
        <w:t> </w:t>
      </w:r>
      <w:r>
        <w:rPr/>
        <w:t>46’</w:t>
      </w:r>
      <w:r>
        <w:rPr>
          <w:spacing w:val="40"/>
        </w:rPr>
        <w:t> </w:t>
      </w:r>
      <w:r>
        <w:rPr/>
        <w:t>N,</w:t>
      </w:r>
      <w:r>
        <w:rPr>
          <w:spacing w:val="40"/>
        </w:rPr>
        <w:t> </w:t>
      </w:r>
      <w:r>
        <w:rPr/>
        <w:t>respectively</w:t>
      </w:r>
      <w:r>
        <w:rPr>
          <w:spacing w:val="40"/>
        </w:rPr>
        <w:t> </w:t>
      </w:r>
      <w:r>
        <w:rPr/>
        <w:t>(World</w:t>
      </w:r>
      <w:r>
        <w:rPr>
          <w:spacing w:val="40"/>
        </w:rPr>
        <w:t> </w:t>
      </w:r>
      <w:r>
        <w:rPr/>
        <w:t>Atlas, </w:t>
      </w:r>
      <w:r>
        <w:rPr>
          <w:spacing w:val="-2"/>
        </w:rPr>
        <w:t>2013).</w:t>
      </w:r>
      <w:r>
        <w:rPr/>
        <w:tab/>
        <w:tab/>
      </w:r>
      <w:r>
        <w:rPr>
          <w:spacing w:val="-6"/>
        </w:rPr>
        <w:t>In</w:t>
      </w:r>
      <w:r>
        <w:rPr/>
        <w:tab/>
      </w:r>
      <w:r>
        <w:rPr>
          <w:spacing w:val="-2"/>
        </w:rPr>
        <w:t>comparison,</w:t>
      </w:r>
      <w:r>
        <w:rPr/>
        <w:tab/>
        <w:tab/>
      </w:r>
      <w:r>
        <w:rPr>
          <w:spacing w:val="-2"/>
        </w:rPr>
        <w:t>Maryland’s</w:t>
      </w:r>
      <w:r>
        <w:rPr/>
        <w:tab/>
      </w:r>
      <w:r>
        <w:rPr>
          <w:spacing w:val="-2"/>
        </w:rPr>
        <w:t>latitude </w:t>
      </w:r>
      <w:r>
        <w:rPr/>
        <w:t>ranges from 37° 53’ N to 39° 43’ N; the latitude of</w:t>
      </w:r>
      <w:r>
        <w:rPr>
          <w:spacing w:val="40"/>
        </w:rPr>
        <w:t> </w:t>
      </w:r>
      <w:r>
        <w:rPr/>
        <w:t>Baltimore</w:t>
      </w:r>
      <w:r>
        <w:rPr>
          <w:spacing w:val="40"/>
        </w:rPr>
        <w:t> </w:t>
      </w:r>
      <w:r>
        <w:rPr/>
        <w:t>city</w:t>
      </w:r>
      <w:r>
        <w:rPr>
          <w:spacing w:val="40"/>
        </w:rPr>
        <w:t> </w:t>
      </w:r>
      <w:r>
        <w:rPr/>
        <w:t>is</w:t>
      </w:r>
      <w:r>
        <w:rPr>
          <w:spacing w:val="40"/>
        </w:rPr>
        <w:t> </w:t>
      </w:r>
      <w:r>
        <w:rPr/>
        <w:t>39°</w:t>
      </w:r>
      <w:r>
        <w:rPr>
          <w:spacing w:val="40"/>
        </w:rPr>
        <w:t> </w:t>
      </w:r>
      <w:r>
        <w:rPr/>
        <w:t>17’</w:t>
      </w:r>
      <w:r>
        <w:rPr>
          <w:spacing w:val="40"/>
        </w:rPr>
        <w:t> </w:t>
      </w:r>
      <w:r>
        <w:rPr/>
        <w:t>N</w:t>
      </w:r>
      <w:r>
        <w:rPr>
          <w:spacing w:val="40"/>
        </w:rPr>
        <w:t> </w:t>
      </w:r>
      <w:r>
        <w:rPr/>
        <w:t>(World</w:t>
      </w:r>
      <w:r>
        <w:rPr>
          <w:spacing w:val="40"/>
        </w:rPr>
        <w:t> </w:t>
      </w:r>
      <w:r>
        <w:rPr/>
        <w:t>Atlas, 2013).</w:t>
      </w:r>
      <w:r>
        <w:rPr>
          <w:spacing w:val="40"/>
        </w:rPr>
        <w:t> </w:t>
      </w:r>
      <w:r>
        <w:rPr/>
        <w:t>The</w:t>
      </w:r>
      <w:r>
        <w:rPr>
          <w:spacing w:val="40"/>
        </w:rPr>
        <w:t> </w:t>
      </w:r>
      <w:r>
        <w:rPr/>
        <w:t>discrepancy</w:t>
      </w:r>
      <w:r>
        <w:rPr>
          <w:spacing w:val="40"/>
        </w:rPr>
        <w:t> </w:t>
      </w:r>
      <w:r>
        <w:rPr/>
        <w:t>in</w:t>
      </w:r>
      <w:r>
        <w:rPr>
          <w:spacing w:val="40"/>
        </w:rPr>
        <w:t> </w:t>
      </w:r>
      <w:r>
        <w:rPr/>
        <w:t>latitudes</w:t>
      </w:r>
      <w:r>
        <w:rPr>
          <w:spacing w:val="40"/>
        </w:rPr>
        <w:t> </w:t>
      </w:r>
      <w:r>
        <w:rPr/>
        <w:t>between</w:t>
      </w:r>
      <w:r>
        <w:rPr>
          <w:spacing w:val="40"/>
        </w:rPr>
        <w:t> </w:t>
      </w:r>
      <w:r>
        <w:rPr/>
        <w:t>these</w:t>
      </w:r>
      <w:r>
        <w:rPr>
          <w:spacing w:val="40"/>
        </w:rPr>
        <w:t> </w:t>
      </w:r>
      <w:r>
        <w:rPr/>
        <w:t>two</w:t>
      </w:r>
      <w:r>
        <w:rPr>
          <w:spacing w:val="40"/>
        </w:rPr>
        <w:t> </w:t>
      </w:r>
      <w:r>
        <w:rPr/>
        <w:t>states</w:t>
      </w:r>
      <w:r>
        <w:rPr>
          <w:spacing w:val="40"/>
        </w:rPr>
        <w:t> </w:t>
      </w:r>
      <w:r>
        <w:rPr/>
        <w:t>has</w:t>
      </w:r>
      <w:r>
        <w:rPr>
          <w:spacing w:val="40"/>
        </w:rPr>
        <w:t> </w:t>
      </w:r>
      <w:r>
        <w:rPr/>
        <w:t>a</w:t>
      </w:r>
      <w:r>
        <w:rPr>
          <w:spacing w:val="40"/>
        </w:rPr>
        <w:t> </w:t>
      </w:r>
      <w:r>
        <w:rPr/>
        <w:t>direct</w:t>
      </w:r>
      <w:r>
        <w:rPr>
          <w:spacing w:val="40"/>
        </w:rPr>
        <w:t> </w:t>
      </w:r>
      <w:r>
        <w:rPr/>
        <w:t>impact</w:t>
      </w:r>
      <w:r>
        <w:rPr>
          <w:spacing w:val="40"/>
        </w:rPr>
        <w:t> </w:t>
      </w:r>
      <w:r>
        <w:rPr/>
        <w:t>on</w:t>
      </w:r>
      <w:r>
        <w:rPr>
          <w:spacing w:val="40"/>
        </w:rPr>
        <w:t> </w:t>
      </w:r>
      <w:r>
        <w:rPr/>
        <w:t>the</w:t>
      </w:r>
      <w:r>
        <w:rPr>
          <w:spacing w:val="80"/>
          <w:w w:val="150"/>
        </w:rPr>
        <w:t> </w:t>
      </w:r>
      <w:r>
        <w:rPr/>
        <w:t>amount of UV rays dispersed in these regions. In </w:t>
      </w:r>
      <w:r>
        <w:rPr>
          <w:spacing w:val="-2"/>
        </w:rPr>
        <w:t>2012,</w:t>
      </w:r>
      <w:r>
        <w:rPr/>
        <w:tab/>
        <w:tab/>
      </w:r>
      <w:r>
        <w:rPr>
          <w:spacing w:val="-4"/>
        </w:rPr>
        <w:t>Los</w:t>
      </w:r>
      <w:r>
        <w:rPr/>
        <w:tab/>
        <w:tab/>
      </w:r>
      <w:r>
        <w:rPr>
          <w:spacing w:val="-2"/>
        </w:rPr>
        <w:t>Angeles,</w:t>
      </w:r>
      <w:r>
        <w:rPr/>
        <w:tab/>
        <w:tab/>
      </w:r>
      <w:r>
        <w:rPr>
          <w:spacing w:val="-4"/>
        </w:rPr>
        <w:t>San</w:t>
      </w:r>
      <w:r>
        <w:rPr/>
        <w:tab/>
      </w:r>
      <w:r>
        <w:rPr>
          <w:spacing w:val="-2"/>
        </w:rPr>
        <w:t>Francisco,</w:t>
      </w:r>
      <w:r>
        <w:rPr/>
        <w:tab/>
      </w:r>
      <w:r>
        <w:rPr>
          <w:spacing w:val="-4"/>
        </w:rPr>
        <w:t>and </w:t>
      </w:r>
      <w:r>
        <w:rPr/>
        <w:t>Baltimore experienced 171, 139, and 127 days, respectively, that had “very high” and “extreme” </w:t>
      </w:r>
      <w:r>
        <w:rPr>
          <w:spacing w:val="-6"/>
        </w:rPr>
        <w:t>UV</w:t>
      </w:r>
      <w:r>
        <w:rPr/>
        <w:tab/>
      </w:r>
      <w:r>
        <w:rPr>
          <w:spacing w:val="-2"/>
        </w:rPr>
        <w:t>indexes</w:t>
      </w:r>
      <w:r>
        <w:rPr/>
        <w:tab/>
        <w:tab/>
      </w:r>
      <w:r>
        <w:rPr>
          <w:spacing w:val="-4"/>
        </w:rPr>
        <w:t>(The</w:t>
      </w:r>
      <w:r>
        <w:rPr/>
        <w:tab/>
      </w:r>
      <w:r>
        <w:rPr>
          <w:spacing w:val="-2"/>
        </w:rPr>
        <w:t>National</w:t>
      </w:r>
      <w:r>
        <w:rPr/>
        <w:tab/>
        <w:tab/>
      </w:r>
      <w:r>
        <w:rPr>
          <w:spacing w:val="-2"/>
        </w:rPr>
        <w:t>Oceanic</w:t>
      </w:r>
      <w:r>
        <w:rPr/>
        <w:tab/>
      </w:r>
      <w:r>
        <w:rPr>
          <w:spacing w:val="-55"/>
        </w:rPr>
        <w:t> </w:t>
      </w:r>
      <w:r>
        <w:rPr>
          <w:spacing w:val="-4"/>
        </w:rPr>
        <w:t>and </w:t>
      </w:r>
      <w:r>
        <w:rPr/>
        <w:t>Atmospheric</w:t>
      </w:r>
      <w:r>
        <w:rPr>
          <w:spacing w:val="80"/>
        </w:rPr>
        <w:t> </w:t>
      </w:r>
      <w:r>
        <w:rPr/>
        <w:t>Administration</w:t>
      </w:r>
      <w:r>
        <w:rPr>
          <w:spacing w:val="80"/>
        </w:rPr>
        <w:t> </w:t>
      </w:r>
      <w:r>
        <w:rPr/>
        <w:t>[NOAA],</w:t>
      </w:r>
      <w:r>
        <w:rPr>
          <w:spacing w:val="80"/>
        </w:rPr>
        <w:t> </w:t>
      </w:r>
      <w:r>
        <w:rPr/>
        <w:t>2013). According</w:t>
      </w:r>
      <w:r>
        <w:rPr>
          <w:spacing w:val="40"/>
        </w:rPr>
        <w:t> </w:t>
      </w:r>
      <w:r>
        <w:rPr/>
        <w:t>to</w:t>
      </w:r>
      <w:r>
        <w:rPr>
          <w:spacing w:val="40"/>
        </w:rPr>
        <w:t> </w:t>
      </w:r>
      <w:r>
        <w:rPr/>
        <w:t>WHO,</w:t>
      </w:r>
      <w:r>
        <w:rPr>
          <w:spacing w:val="40"/>
        </w:rPr>
        <w:t> </w:t>
      </w:r>
      <w:r>
        <w:rPr/>
        <w:t>the</w:t>
      </w:r>
      <w:r>
        <w:rPr>
          <w:spacing w:val="40"/>
        </w:rPr>
        <w:t> </w:t>
      </w:r>
      <w:r>
        <w:rPr/>
        <w:t>annual</w:t>
      </w:r>
      <w:r>
        <w:rPr>
          <w:spacing w:val="40"/>
        </w:rPr>
        <w:t> </w:t>
      </w:r>
      <w:r>
        <w:rPr/>
        <w:t>average</w:t>
      </w:r>
      <w:r>
        <w:rPr>
          <w:spacing w:val="40"/>
        </w:rPr>
        <w:t> </w:t>
      </w:r>
      <w:r>
        <w:rPr/>
        <w:t>UV index</w:t>
      </w:r>
      <w:r>
        <w:rPr>
          <w:spacing w:val="-7"/>
        </w:rPr>
        <w:t> </w:t>
      </w:r>
      <w:r>
        <w:rPr/>
        <w:t>for</w:t>
      </w:r>
      <w:r>
        <w:rPr>
          <w:spacing w:val="-3"/>
        </w:rPr>
        <w:t> </w:t>
      </w:r>
      <w:r>
        <w:rPr/>
        <w:t>Los</w:t>
      </w:r>
      <w:r>
        <w:rPr>
          <w:spacing w:val="-4"/>
        </w:rPr>
        <w:t> </w:t>
      </w:r>
      <w:r>
        <w:rPr/>
        <w:t>Angeles</w:t>
      </w:r>
      <w:r>
        <w:rPr>
          <w:spacing w:val="-4"/>
        </w:rPr>
        <w:t> </w:t>
      </w:r>
      <w:r>
        <w:rPr/>
        <w:t>is</w:t>
      </w:r>
      <w:r>
        <w:rPr>
          <w:spacing w:val="-4"/>
        </w:rPr>
        <w:t> </w:t>
      </w:r>
      <w:r>
        <w:rPr/>
        <w:t>6.33,</w:t>
      </w:r>
      <w:r>
        <w:rPr>
          <w:spacing w:val="-4"/>
        </w:rPr>
        <w:t> </w:t>
      </w:r>
      <w:r>
        <w:rPr/>
        <w:t>but</w:t>
      </w:r>
      <w:r>
        <w:rPr>
          <w:spacing w:val="-3"/>
        </w:rPr>
        <w:t> </w:t>
      </w:r>
      <w:r>
        <w:rPr/>
        <w:t>New</w:t>
      </w:r>
      <w:r>
        <w:rPr>
          <w:spacing w:val="-5"/>
        </w:rPr>
        <w:t> </w:t>
      </w:r>
      <w:r>
        <w:rPr/>
        <w:t>York</w:t>
      </w:r>
      <w:r>
        <w:rPr>
          <w:spacing w:val="-7"/>
        </w:rPr>
        <w:t> </w:t>
      </w:r>
      <w:r>
        <w:rPr/>
        <w:t>(40° 43’ N), which has similar latitude as Baltimore city,</w:t>
      </w:r>
      <w:r>
        <w:rPr>
          <w:spacing w:val="40"/>
        </w:rPr>
        <w:t> </w:t>
      </w:r>
      <w:r>
        <w:rPr/>
        <w:t>is</w:t>
      </w:r>
      <w:r>
        <w:rPr>
          <w:spacing w:val="40"/>
        </w:rPr>
        <w:t> </w:t>
      </w:r>
      <w:r>
        <w:rPr/>
        <w:t>only</w:t>
      </w:r>
      <w:r>
        <w:rPr>
          <w:spacing w:val="40"/>
        </w:rPr>
        <w:t> </w:t>
      </w:r>
      <w:r>
        <w:rPr/>
        <w:t>4.92</w:t>
      </w:r>
      <w:r>
        <w:rPr>
          <w:spacing w:val="40"/>
        </w:rPr>
        <w:t> </w:t>
      </w:r>
      <w:r>
        <w:rPr/>
        <w:t>(World</w:t>
      </w:r>
      <w:r>
        <w:rPr>
          <w:spacing w:val="40"/>
        </w:rPr>
        <w:t> </w:t>
      </w:r>
      <w:r>
        <w:rPr/>
        <w:t>Health</w:t>
      </w:r>
      <w:r>
        <w:rPr>
          <w:spacing w:val="40"/>
        </w:rPr>
        <w:t> </w:t>
      </w:r>
      <w:r>
        <w:rPr/>
        <w:t>Organization [WHO],</w:t>
      </w:r>
      <w:r>
        <w:rPr>
          <w:spacing w:val="80"/>
        </w:rPr>
        <w:t> </w:t>
      </w:r>
      <w:r>
        <w:rPr/>
        <w:t>2013).</w:t>
      </w:r>
      <w:r>
        <w:rPr>
          <w:spacing w:val="80"/>
        </w:rPr>
        <w:t> </w:t>
      </w:r>
      <w:r>
        <w:rPr/>
        <w:t>Therefore,</w:t>
      </w:r>
      <w:r>
        <w:rPr>
          <w:spacing w:val="80"/>
        </w:rPr>
        <w:t> </w:t>
      </w:r>
      <w:r>
        <w:rPr/>
        <w:t>because</w:t>
      </w:r>
      <w:r>
        <w:rPr>
          <w:spacing w:val="80"/>
        </w:rPr>
        <w:t> </w:t>
      </w:r>
      <w:r>
        <w:rPr/>
        <w:t>of</w:t>
      </w:r>
      <w:r>
        <w:rPr>
          <w:spacing w:val="80"/>
        </w:rPr>
        <w:t> </w:t>
      </w:r>
      <w:r>
        <w:rPr/>
        <w:t>this</w:t>
      </w:r>
      <w:r>
        <w:rPr>
          <w:spacing w:val="40"/>
        </w:rPr>
        <w:t> </w:t>
      </w:r>
      <w:r>
        <w:rPr/>
        <w:t>difference</w:t>
      </w:r>
      <w:r>
        <w:rPr>
          <w:spacing w:val="39"/>
        </w:rPr>
        <w:t> </w:t>
      </w:r>
      <w:r>
        <w:rPr/>
        <w:t>in</w:t>
      </w:r>
      <w:r>
        <w:rPr>
          <w:spacing w:val="40"/>
        </w:rPr>
        <w:t> </w:t>
      </w:r>
      <w:r>
        <w:rPr/>
        <w:t>geographical</w:t>
      </w:r>
      <w:r>
        <w:rPr>
          <w:spacing w:val="40"/>
        </w:rPr>
        <w:t> </w:t>
      </w:r>
      <w:r>
        <w:rPr/>
        <w:t>latitude,</w:t>
      </w:r>
      <w:r>
        <w:rPr>
          <w:spacing w:val="39"/>
        </w:rPr>
        <w:t> </w:t>
      </w:r>
      <w:r>
        <w:rPr/>
        <w:t>it</w:t>
      </w:r>
      <w:r>
        <w:rPr>
          <w:spacing w:val="40"/>
        </w:rPr>
        <w:t> </w:t>
      </w:r>
      <w:r>
        <w:rPr/>
        <w:t>is</w:t>
      </w:r>
      <w:r>
        <w:rPr>
          <w:spacing w:val="39"/>
        </w:rPr>
        <w:t> </w:t>
      </w:r>
      <w:r>
        <w:rPr/>
        <w:t>safe</w:t>
      </w:r>
      <w:r>
        <w:rPr>
          <w:spacing w:val="39"/>
        </w:rPr>
        <w:t> </w:t>
      </w:r>
      <w:r>
        <w:rPr/>
        <w:t>to assume</w:t>
      </w:r>
      <w:r>
        <w:rPr>
          <w:spacing w:val="40"/>
        </w:rPr>
        <w:t> </w:t>
      </w:r>
      <w:r>
        <w:rPr/>
        <w:t>that</w:t>
      </w:r>
      <w:r>
        <w:rPr>
          <w:spacing w:val="40"/>
        </w:rPr>
        <w:t> </w:t>
      </w:r>
      <w:r>
        <w:rPr/>
        <w:t>southern</w:t>
      </w:r>
      <w:r>
        <w:rPr>
          <w:spacing w:val="40"/>
        </w:rPr>
        <w:t> </w:t>
      </w:r>
      <w:r>
        <w:rPr/>
        <w:t>Californians,</w:t>
      </w:r>
      <w:r>
        <w:rPr>
          <w:spacing w:val="40"/>
        </w:rPr>
        <w:t> </w:t>
      </w:r>
      <w:r>
        <w:rPr/>
        <w:t>in</w:t>
      </w:r>
      <w:r>
        <w:rPr>
          <w:spacing w:val="40"/>
        </w:rPr>
        <w:t> </w:t>
      </w:r>
      <w:r>
        <w:rPr/>
        <w:t>general, are more exposed to stronger UV rays compared to people living in Maryland.</w:t>
      </w:r>
    </w:p>
    <w:p>
      <w:pPr>
        <w:pStyle w:val="BodyText"/>
      </w:pPr>
    </w:p>
    <w:p>
      <w:pPr>
        <w:pStyle w:val="BodyText"/>
        <w:ind w:left="239" w:right="554"/>
        <w:jc w:val="both"/>
      </w:pPr>
      <w:r>
        <w:rPr/>
        <w:t>The incidence rates for melanoma are surprisingly</w:t>
      </w:r>
      <w:r>
        <w:rPr>
          <w:spacing w:val="-7"/>
        </w:rPr>
        <w:t> </w:t>
      </w:r>
      <w:r>
        <w:rPr/>
        <w:t>similar</w:t>
      </w:r>
      <w:r>
        <w:rPr>
          <w:spacing w:val="-6"/>
        </w:rPr>
        <w:t> </w:t>
      </w:r>
      <w:r>
        <w:rPr/>
        <w:t>for</w:t>
      </w:r>
      <w:r>
        <w:rPr>
          <w:spacing w:val="-6"/>
        </w:rPr>
        <w:t> </w:t>
      </w:r>
      <w:r>
        <w:rPr/>
        <w:t>Maryland</w:t>
      </w:r>
      <w:r>
        <w:rPr>
          <w:spacing w:val="-5"/>
        </w:rPr>
        <w:t> </w:t>
      </w:r>
      <w:r>
        <w:rPr/>
        <w:t>and</w:t>
      </w:r>
      <w:r>
        <w:rPr>
          <w:spacing w:val="-5"/>
        </w:rPr>
        <w:t> </w:t>
      </w:r>
      <w:r>
        <w:rPr/>
        <w:t>California. Both Maryland and California are in the same melanoma incidence rate interval of 19.2- 21.5/100,000, and the same melanoma mortality rate interval of 2.6-2.8/100,000 (CDC, 2010c). Compared to the national melanoma incidence rates of 24/100,000 for men, California and Maryland</w:t>
      </w:r>
      <w:r>
        <w:rPr>
          <w:spacing w:val="-2"/>
        </w:rPr>
        <w:t> </w:t>
      </w:r>
      <w:r>
        <w:rPr/>
        <w:t>incidence</w:t>
      </w:r>
      <w:r>
        <w:rPr>
          <w:spacing w:val="-3"/>
        </w:rPr>
        <w:t> </w:t>
      </w:r>
      <w:r>
        <w:rPr/>
        <w:t>rates</w:t>
      </w:r>
      <w:r>
        <w:rPr>
          <w:spacing w:val="-2"/>
        </w:rPr>
        <w:t> </w:t>
      </w:r>
      <w:r>
        <w:rPr/>
        <w:t>were</w:t>
      </w:r>
      <w:r>
        <w:rPr>
          <w:spacing w:val="-2"/>
        </w:rPr>
        <w:t> </w:t>
      </w:r>
      <w:r>
        <w:rPr/>
        <w:t>27.6/100,000</w:t>
      </w:r>
      <w:r>
        <w:rPr>
          <w:spacing w:val="-2"/>
        </w:rPr>
        <w:t> </w:t>
      </w:r>
      <w:r>
        <w:rPr/>
        <w:t>and 28.6/100,000, respectively. Similarly, for women, the national incidence rate was 15.1/100,000, compared to 16.1/100,000 </w:t>
      </w:r>
      <w:r>
        <w:rPr/>
        <w:t>and 16.6/100,000 in California and Maryland, respectively (CDC, 2010b).</w:t>
      </w:r>
    </w:p>
    <w:p>
      <w:pPr>
        <w:pStyle w:val="BodyText"/>
        <w:spacing w:before="252"/>
        <w:ind w:left="239" w:right="555"/>
        <w:jc w:val="both"/>
      </w:pPr>
      <w:r>
        <w:rPr/>
        <w:t>Melanoma incidence rates among African Americans residing in California and Maryland are also similar. In 2007, California had an age- adjusted</w:t>
      </w:r>
      <w:r>
        <w:rPr>
          <w:spacing w:val="-4"/>
        </w:rPr>
        <w:t> </w:t>
      </w:r>
      <w:r>
        <w:rPr/>
        <w:t>incidence</w:t>
      </w:r>
      <w:r>
        <w:rPr>
          <w:spacing w:val="-1"/>
        </w:rPr>
        <w:t> </w:t>
      </w:r>
      <w:r>
        <w:rPr/>
        <w:t>rate</w:t>
      </w:r>
      <w:r>
        <w:rPr>
          <w:spacing w:val="-4"/>
        </w:rPr>
        <w:t> </w:t>
      </w:r>
      <w:r>
        <w:rPr/>
        <w:t>for</w:t>
      </w:r>
      <w:r>
        <w:rPr>
          <w:spacing w:val="-3"/>
        </w:rPr>
        <w:t> </w:t>
      </w:r>
      <w:r>
        <w:rPr/>
        <w:t>African</w:t>
      </w:r>
      <w:r>
        <w:rPr>
          <w:spacing w:val="-2"/>
        </w:rPr>
        <w:t> </w:t>
      </w:r>
      <w:r>
        <w:rPr/>
        <w:t>Americans</w:t>
      </w:r>
      <w:r>
        <w:rPr>
          <w:spacing w:val="-2"/>
        </w:rPr>
        <w:t> </w:t>
      </w:r>
      <w:r>
        <w:rPr/>
        <w:t>of 1.3/100,000 (CDC, 2010d). The age-adjusted melanoma incidence rate for African Americans was similar for Maryland (1.2/100,000 in 2007) (Maryland Department of Health and Mental Hygiene [MDHMH], 2010). Since our samples were</w:t>
      </w:r>
      <w:r>
        <w:rPr>
          <w:spacing w:val="32"/>
        </w:rPr>
        <w:t>  </w:t>
      </w:r>
      <w:r>
        <w:rPr/>
        <w:t>taken</w:t>
      </w:r>
      <w:r>
        <w:rPr>
          <w:spacing w:val="34"/>
        </w:rPr>
        <w:t>  </w:t>
      </w:r>
      <w:r>
        <w:rPr/>
        <w:t>from</w:t>
      </w:r>
      <w:r>
        <w:rPr>
          <w:spacing w:val="32"/>
        </w:rPr>
        <w:t>  </w:t>
      </w:r>
      <w:r>
        <w:rPr/>
        <w:t>a</w:t>
      </w:r>
      <w:r>
        <w:rPr>
          <w:spacing w:val="34"/>
        </w:rPr>
        <w:t>  </w:t>
      </w:r>
      <w:r>
        <w:rPr/>
        <w:t>university</w:t>
      </w:r>
      <w:r>
        <w:rPr>
          <w:spacing w:val="33"/>
        </w:rPr>
        <w:t>  </w:t>
      </w:r>
      <w:r>
        <w:rPr/>
        <w:t>in</w:t>
      </w:r>
      <w:r>
        <w:rPr>
          <w:spacing w:val="34"/>
        </w:rPr>
        <w:t>  </w:t>
      </w:r>
      <w:r>
        <w:rPr>
          <w:spacing w:val="-2"/>
        </w:rPr>
        <w:t>southern</w:t>
      </w:r>
    </w:p>
    <w:p>
      <w:pPr>
        <w:spacing w:after="0"/>
        <w:jc w:val="both"/>
        <w:sectPr>
          <w:pgSz w:w="12240" w:h="15840"/>
          <w:pgMar w:header="699" w:footer="1070" w:top="1340" w:bottom="1260" w:left="1200" w:right="880"/>
          <w:cols w:num="2" w:equalWidth="0">
            <w:col w:w="4603" w:space="437"/>
            <w:col w:w="5120"/>
          </w:cols>
        </w:sectPr>
      </w:pPr>
    </w:p>
    <w:p>
      <w:pPr>
        <w:pStyle w:val="BodyText"/>
        <w:spacing w:before="84"/>
        <w:ind w:left="240" w:right="38"/>
        <w:jc w:val="both"/>
      </w:pPr>
      <w:r>
        <w:rPr/>
        <w:t>California, the closest estimate we have for melanoma rates are from Los Angeles County. According to National Cancer Institute (NCI) 2012 data, the incidence rate of melanoma among Blacks (including Hispanic blacks) is slightly lower in Los Angeles county (0.9/100,000, 95% confidence interval [0.6/100,000, 1.2/100,000]) than Maryland (1.0/100,000, 95% confidence interval [0.8/100,000, 1.3/100,000]) (National Cancer Institute, 2012). In sum, although Maryland receives much less intense UV radiation as compared</w:t>
      </w:r>
      <w:r>
        <w:rPr>
          <w:spacing w:val="-1"/>
        </w:rPr>
        <w:t> </w:t>
      </w:r>
      <w:r>
        <w:rPr/>
        <w:t>to California,</w:t>
      </w:r>
      <w:r>
        <w:rPr>
          <w:spacing w:val="-1"/>
        </w:rPr>
        <w:t> </w:t>
      </w:r>
      <w:r>
        <w:rPr/>
        <w:t>the</w:t>
      </w:r>
      <w:r>
        <w:rPr>
          <w:spacing w:val="-1"/>
        </w:rPr>
        <w:t> </w:t>
      </w:r>
      <w:r>
        <w:rPr/>
        <w:t>melanoma incidence rates are similar to African Americans in </w:t>
      </w:r>
      <w:r>
        <w:rPr>
          <w:spacing w:val="-2"/>
        </w:rPr>
        <w:t>California.</w:t>
      </w:r>
    </w:p>
    <w:p>
      <w:pPr>
        <w:pStyle w:val="BodyText"/>
      </w:pPr>
    </w:p>
    <w:p>
      <w:pPr>
        <w:pStyle w:val="BodyText"/>
        <w:ind w:left="240" w:right="38"/>
        <w:jc w:val="both"/>
      </w:pPr>
      <w:r>
        <w:rPr/>
        <w:t>A review of the literature indicates there is a</w:t>
      </w:r>
      <w:r>
        <w:rPr>
          <w:spacing w:val="40"/>
        </w:rPr>
        <w:t> </w:t>
      </w:r>
      <w:r>
        <w:rPr/>
        <w:t>lack of research addressing sun protection behaviors among African Americans. To the</w:t>
      </w:r>
      <w:r>
        <w:rPr>
          <w:spacing w:val="40"/>
        </w:rPr>
        <w:t> </w:t>
      </w:r>
      <w:r>
        <w:rPr/>
        <w:t>best of our knowledge, no one has studied differences in attitudes, knowledge, and protective behaviors among African Americans who live in regions that receive different amounts</w:t>
      </w:r>
      <w:r>
        <w:rPr>
          <w:spacing w:val="-2"/>
        </w:rPr>
        <w:t> </w:t>
      </w:r>
      <w:r>
        <w:rPr/>
        <w:t>of</w:t>
      </w:r>
      <w:r>
        <w:rPr>
          <w:spacing w:val="-2"/>
        </w:rPr>
        <w:t> </w:t>
      </w:r>
      <w:r>
        <w:rPr/>
        <w:t>sun</w:t>
      </w:r>
      <w:r>
        <w:rPr>
          <w:spacing w:val="-3"/>
        </w:rPr>
        <w:t> </w:t>
      </w:r>
      <w:r>
        <w:rPr/>
        <w:t>exposure.</w:t>
      </w:r>
      <w:r>
        <w:rPr>
          <w:spacing w:val="-5"/>
        </w:rPr>
        <w:t> </w:t>
      </w:r>
      <w:r>
        <w:rPr/>
        <w:t>Therefore,</w:t>
      </w:r>
      <w:r>
        <w:rPr>
          <w:spacing w:val="-3"/>
        </w:rPr>
        <w:t> </w:t>
      </w:r>
      <w:r>
        <w:rPr/>
        <w:t>the</w:t>
      </w:r>
      <w:r>
        <w:rPr>
          <w:spacing w:val="-2"/>
        </w:rPr>
        <w:t> </w:t>
      </w:r>
      <w:r>
        <w:rPr/>
        <w:t>purpose of this study was to examine and compare the knowledge, attitude, and protective behavior toward skin cancer among United States African American college students living in areas with different sun intensities as measured by latitude. College age students were chosen for this study to control for education as a potential confounder. Furthermore, since skin cancer is directly linked to cumulative, lifetime sun exposure, a study of college age students, who, because of their young age, are still at low risk for skin cancer, maybe be an important group to target for future intervention studies.</w:t>
      </w:r>
    </w:p>
    <w:p>
      <w:pPr>
        <w:pStyle w:val="Heading2"/>
        <w:spacing w:line="500" w:lineRule="atLeast" w:before="7"/>
        <w:ind w:right="1758" w:firstLine="1749"/>
        <w:jc w:val="both"/>
      </w:pPr>
      <w:r>
        <w:rPr>
          <w:spacing w:val="-2"/>
        </w:rPr>
        <w:t>Methods </w:t>
      </w:r>
      <w:r>
        <w:rPr/>
        <w:t>Sample</w:t>
      </w:r>
      <w:r>
        <w:rPr>
          <w:spacing w:val="-3"/>
        </w:rPr>
        <w:t> </w:t>
      </w:r>
      <w:r>
        <w:rPr/>
        <w:t>and</w:t>
      </w:r>
      <w:r>
        <w:rPr>
          <w:spacing w:val="-3"/>
        </w:rPr>
        <w:t> </w:t>
      </w:r>
      <w:r>
        <w:rPr>
          <w:spacing w:val="-2"/>
        </w:rPr>
        <w:t>Administration</w:t>
      </w:r>
    </w:p>
    <w:p>
      <w:pPr>
        <w:pStyle w:val="BodyText"/>
        <w:spacing w:before="3"/>
        <w:ind w:left="240" w:right="40"/>
        <w:jc w:val="both"/>
      </w:pPr>
      <w:r>
        <w:rPr/>
        <w:t>The study sample was taken from African American college students who attended two large state universities in southern California</w:t>
      </w:r>
      <w:r>
        <w:rPr>
          <w:spacing w:val="80"/>
        </w:rPr>
        <w:t> </w:t>
      </w:r>
      <w:r>
        <w:rPr/>
        <w:t>and Maryland. Students were contacted through faculty who taught African American studies classes and through staff who advised African American</w:t>
      </w:r>
      <w:r>
        <w:rPr>
          <w:spacing w:val="-6"/>
        </w:rPr>
        <w:t> </w:t>
      </w:r>
      <w:r>
        <w:rPr/>
        <w:t>campus</w:t>
      </w:r>
      <w:r>
        <w:rPr>
          <w:spacing w:val="-5"/>
        </w:rPr>
        <w:t> </w:t>
      </w:r>
      <w:r>
        <w:rPr/>
        <w:t>student</w:t>
      </w:r>
      <w:r>
        <w:rPr>
          <w:spacing w:val="-7"/>
        </w:rPr>
        <w:t> </w:t>
      </w:r>
      <w:r>
        <w:rPr/>
        <w:t>organizations.</w:t>
      </w:r>
      <w:r>
        <w:rPr>
          <w:spacing w:val="-6"/>
        </w:rPr>
        <w:t> </w:t>
      </w:r>
      <w:r>
        <w:rPr/>
        <w:t>African American males and females, 18 years or older were eligible for the study. A cross-sectional study</w:t>
      </w:r>
      <w:r>
        <w:rPr>
          <w:spacing w:val="19"/>
        </w:rPr>
        <w:t> </w:t>
      </w:r>
      <w:r>
        <w:rPr/>
        <w:t>design</w:t>
      </w:r>
      <w:r>
        <w:rPr>
          <w:spacing w:val="24"/>
        </w:rPr>
        <w:t> </w:t>
      </w:r>
      <w:r>
        <w:rPr/>
        <w:t>was</w:t>
      </w:r>
      <w:r>
        <w:rPr>
          <w:spacing w:val="25"/>
        </w:rPr>
        <w:t> </w:t>
      </w:r>
      <w:r>
        <w:rPr/>
        <w:t>used</w:t>
      </w:r>
      <w:r>
        <w:rPr>
          <w:spacing w:val="22"/>
        </w:rPr>
        <w:t> </w:t>
      </w:r>
      <w:r>
        <w:rPr/>
        <w:t>to</w:t>
      </w:r>
      <w:r>
        <w:rPr>
          <w:spacing w:val="19"/>
        </w:rPr>
        <w:t> </w:t>
      </w:r>
      <w:r>
        <w:rPr/>
        <w:t>collect</w:t>
      </w:r>
      <w:r>
        <w:rPr>
          <w:spacing w:val="25"/>
        </w:rPr>
        <w:t> </w:t>
      </w:r>
      <w:r>
        <w:rPr/>
        <w:t>data</w:t>
      </w:r>
      <w:r>
        <w:rPr>
          <w:spacing w:val="22"/>
        </w:rPr>
        <w:t> </w:t>
      </w:r>
      <w:r>
        <w:rPr/>
        <w:t>from</w:t>
      </w:r>
      <w:r>
        <w:rPr>
          <w:spacing w:val="20"/>
        </w:rPr>
        <w:t> </w:t>
      </w:r>
      <w:r>
        <w:rPr>
          <w:spacing w:val="-5"/>
        </w:rPr>
        <w:t>180</w:t>
      </w:r>
    </w:p>
    <w:p>
      <w:pPr>
        <w:pStyle w:val="BodyText"/>
        <w:spacing w:before="81"/>
        <w:ind w:left="240" w:right="553"/>
        <w:jc w:val="both"/>
      </w:pPr>
      <w:r>
        <w:rPr/>
        <w:br w:type="column"/>
      </w:r>
      <w:r>
        <w:rPr/>
        <w:t>students in each university. The questionnaires data was based on self-report and responses</w:t>
      </w:r>
      <w:r>
        <w:rPr>
          <w:spacing w:val="40"/>
        </w:rPr>
        <w:t> </w:t>
      </w:r>
      <w:r>
        <w:rPr/>
        <w:t>were anonymous. Eligibility requirements included being an African American of both sexes and a college student. One of the authors (C.M.) collected the data through visits to faculty/ staff approved classrooms, clubs, and service centers. The survey asked questions pertaining</w:t>
      </w:r>
      <w:r>
        <w:rPr>
          <w:spacing w:val="-4"/>
        </w:rPr>
        <w:t> </w:t>
      </w:r>
      <w:r>
        <w:rPr/>
        <w:t>to</w:t>
      </w:r>
      <w:r>
        <w:rPr>
          <w:spacing w:val="-2"/>
        </w:rPr>
        <w:t> </w:t>
      </w:r>
      <w:r>
        <w:rPr/>
        <w:t>knowledge</w:t>
      </w:r>
      <w:r>
        <w:rPr>
          <w:spacing w:val="-2"/>
        </w:rPr>
        <w:t> </w:t>
      </w:r>
      <w:r>
        <w:rPr/>
        <w:t>of</w:t>
      </w:r>
      <w:r>
        <w:rPr>
          <w:spacing w:val="-3"/>
        </w:rPr>
        <w:t> </w:t>
      </w:r>
      <w:r>
        <w:rPr/>
        <w:t>and</w:t>
      </w:r>
      <w:r>
        <w:rPr>
          <w:spacing w:val="-2"/>
        </w:rPr>
        <w:t> </w:t>
      </w:r>
      <w:r>
        <w:rPr/>
        <w:t>attitudes</w:t>
      </w:r>
      <w:r>
        <w:rPr>
          <w:spacing w:val="-2"/>
        </w:rPr>
        <w:t> </w:t>
      </w:r>
      <w:r>
        <w:rPr/>
        <w:t>towards skin cancer risk, in addition to practice of sun protection behaviors (Cheng et al., 2010; Cokkinides et al., 2001). All study protocols were reviewed and approved by Institutional Review</w:t>
      </w:r>
      <w:r>
        <w:rPr>
          <w:spacing w:val="-6"/>
        </w:rPr>
        <w:t> </w:t>
      </w:r>
      <w:r>
        <w:rPr/>
        <w:t>Board</w:t>
      </w:r>
      <w:r>
        <w:rPr>
          <w:spacing w:val="-5"/>
        </w:rPr>
        <w:t> </w:t>
      </w:r>
      <w:r>
        <w:rPr/>
        <w:t>at</w:t>
      </w:r>
      <w:r>
        <w:rPr>
          <w:spacing w:val="-4"/>
        </w:rPr>
        <w:t> </w:t>
      </w:r>
      <w:r>
        <w:rPr/>
        <w:t>the</w:t>
      </w:r>
      <w:r>
        <w:rPr>
          <w:spacing w:val="-5"/>
        </w:rPr>
        <w:t> </w:t>
      </w:r>
      <w:r>
        <w:rPr/>
        <w:t>academic</w:t>
      </w:r>
      <w:r>
        <w:rPr>
          <w:spacing w:val="-5"/>
        </w:rPr>
        <w:t> </w:t>
      </w:r>
      <w:r>
        <w:rPr/>
        <w:t>institutions</w:t>
      </w:r>
      <w:r>
        <w:rPr>
          <w:spacing w:val="-5"/>
        </w:rPr>
        <w:t> </w:t>
      </w:r>
      <w:r>
        <w:rPr/>
        <w:t>where data were collected.</w:t>
      </w:r>
    </w:p>
    <w:p>
      <w:pPr>
        <w:pStyle w:val="BodyText"/>
        <w:spacing w:before="5"/>
      </w:pPr>
    </w:p>
    <w:p>
      <w:pPr>
        <w:pStyle w:val="Heading2"/>
        <w:spacing w:line="250" w:lineRule="exact"/>
      </w:pPr>
      <w:r>
        <w:rPr>
          <w:spacing w:val="-2"/>
        </w:rPr>
        <w:t>Knowledge</w:t>
      </w:r>
    </w:p>
    <w:p>
      <w:pPr>
        <w:pStyle w:val="BodyText"/>
        <w:ind w:left="240" w:right="498" w:firstLine="55"/>
        <w:jc w:val="both"/>
      </w:pPr>
      <w:r>
        <w:rPr/>
        <w:t>Knowledge was assessed in these questions: “How important do you think the following are</w:t>
      </w:r>
      <w:r>
        <w:rPr>
          <w:spacing w:val="40"/>
        </w:rPr>
        <w:t> </w:t>
      </w:r>
      <w:r>
        <w:rPr/>
        <w:t>in increasing the risk of skin cancer?”, and the response options were 1 =sunbathing without sunscreen, 2 = sunbathing with sunscreen, 3 =</w:t>
      </w:r>
      <w:r>
        <w:rPr>
          <w:spacing w:val="40"/>
        </w:rPr>
        <w:t> </w:t>
      </w:r>
      <w:r>
        <w:rPr/>
        <w:t>fair skin with freckles that burns easily, 4 = getting sunburned as a child, 5 = getting sunburned as an adult, 6 = having a large</w:t>
      </w:r>
      <w:r>
        <w:rPr>
          <w:spacing w:val="80"/>
          <w:w w:val="150"/>
        </w:rPr>
        <w:t> </w:t>
      </w:r>
      <w:r>
        <w:rPr/>
        <w:t>number of moles, and 7 = using artificial</w:t>
      </w:r>
      <w:r>
        <w:rPr>
          <w:spacing w:val="80"/>
        </w:rPr>
        <w:t> </w:t>
      </w:r>
      <w:r>
        <w:rPr/>
        <w:t>sunlight (tanning beds). For these questions, the participants could rate them as “not important at all”, “somewhat important”, or “very important”. Knowledge was further assessed in this item: “What action should you take to reduce the risk of skin cancer?”, and the options were 1 = use sunscreen SPF below 15, 2 = use sunscreen 15+, 3 = stay in shade, 4 = cover exposed skin, and 5</w:t>
      </w:r>
    </w:p>
    <w:p>
      <w:pPr>
        <w:pStyle w:val="BodyText"/>
        <w:ind w:left="240" w:right="553"/>
        <w:jc w:val="both"/>
      </w:pPr>
      <w:r>
        <w:rPr/>
        <w:t>= avoid sun during strongest reflection 10:00am – 3:00pm. Lastly, knowledge was measured in this</w:t>
      </w:r>
      <w:r>
        <w:rPr>
          <w:spacing w:val="-3"/>
        </w:rPr>
        <w:t> </w:t>
      </w:r>
      <w:r>
        <w:rPr/>
        <w:t>item:</w:t>
      </w:r>
      <w:r>
        <w:rPr>
          <w:spacing w:val="-3"/>
        </w:rPr>
        <w:t> </w:t>
      </w:r>
      <w:r>
        <w:rPr/>
        <w:t>“Exposure</w:t>
      </w:r>
      <w:r>
        <w:rPr>
          <w:spacing w:val="-3"/>
        </w:rPr>
        <w:t> </w:t>
      </w:r>
      <w:r>
        <w:rPr/>
        <w:t>to</w:t>
      </w:r>
      <w:r>
        <w:rPr>
          <w:spacing w:val="-4"/>
        </w:rPr>
        <w:t> </w:t>
      </w:r>
      <w:r>
        <w:rPr/>
        <w:t>sun/ultraviolet</w:t>
      </w:r>
      <w:r>
        <w:rPr>
          <w:spacing w:val="-3"/>
        </w:rPr>
        <w:t> </w:t>
      </w:r>
      <w:r>
        <w:rPr/>
        <w:t>(UV)</w:t>
      </w:r>
      <w:r>
        <w:rPr>
          <w:spacing w:val="-3"/>
        </w:rPr>
        <w:t> </w:t>
      </w:r>
      <w:r>
        <w:rPr/>
        <w:t>rays may cause skin cancer”, and the response</w:t>
      </w:r>
      <w:r>
        <w:rPr>
          <w:spacing w:val="40"/>
        </w:rPr>
        <w:t> </w:t>
      </w:r>
      <w:r>
        <w:rPr/>
        <w:t>options were on a Likert scale with 1 = strongly disagree to 5 = strongly agree.</w:t>
      </w:r>
    </w:p>
    <w:p>
      <w:pPr>
        <w:pStyle w:val="BodyText"/>
        <w:spacing w:before="1"/>
      </w:pPr>
    </w:p>
    <w:p>
      <w:pPr>
        <w:pStyle w:val="Heading2"/>
        <w:spacing w:line="250" w:lineRule="exact"/>
      </w:pPr>
      <w:r>
        <w:rPr>
          <w:spacing w:val="-2"/>
        </w:rPr>
        <w:t>Attitude</w:t>
      </w:r>
    </w:p>
    <w:p>
      <w:pPr>
        <w:pStyle w:val="BodyText"/>
        <w:ind w:left="240" w:right="553"/>
        <w:jc w:val="both"/>
      </w:pPr>
      <w:r>
        <w:rPr/>
        <w:t>Attitude was measured with three items: “I am concerned that exposure to the sun/ultraviolet (UV) rays may give me skin cancer”, “The possibility of skin cancer worries me”, and “Getting skin cancer would severely affect my life”. The response options were on a Likert scale with 1 = strongly disagree to 5 = strongly </w:t>
      </w:r>
      <w:r>
        <w:rPr>
          <w:spacing w:val="-2"/>
        </w:rPr>
        <w:t>agree.</w:t>
      </w:r>
    </w:p>
    <w:p>
      <w:pPr>
        <w:spacing w:after="0"/>
        <w:jc w:val="both"/>
        <w:sectPr>
          <w:pgSz w:w="12240" w:h="15840"/>
          <w:pgMar w:header="699" w:footer="1070" w:top="1340" w:bottom="1260" w:left="1200" w:right="880"/>
          <w:cols w:num="2" w:equalWidth="0">
            <w:col w:w="4606" w:space="434"/>
            <w:col w:w="5120"/>
          </w:cols>
        </w:sectPr>
      </w:pPr>
    </w:p>
    <w:p>
      <w:pPr>
        <w:pStyle w:val="Heading2"/>
        <w:spacing w:line="250" w:lineRule="exact" w:before="89"/>
        <w:jc w:val="both"/>
      </w:pPr>
      <w:r>
        <w:rPr/>
        <w:t>Protective</w:t>
      </w:r>
      <w:r>
        <w:rPr>
          <w:spacing w:val="-7"/>
        </w:rPr>
        <w:t> </w:t>
      </w:r>
      <w:r>
        <w:rPr>
          <w:spacing w:val="-2"/>
        </w:rPr>
        <w:t>Behavior</w:t>
      </w:r>
    </w:p>
    <w:p>
      <w:pPr>
        <w:pStyle w:val="BodyText"/>
        <w:ind w:left="239" w:right="38"/>
        <w:jc w:val="both"/>
      </w:pPr>
      <w:r>
        <w:rPr/>
        <w:t>Protective behavior was measured in three questions: “How often are you out in the sun?”, and the response options were 1 = never, 2 = rarely, 3 = sometimes, 4 =</w:t>
      </w:r>
      <w:r>
        <w:rPr>
          <w:spacing w:val="-1"/>
        </w:rPr>
        <w:t> </w:t>
      </w:r>
      <w:r>
        <w:rPr/>
        <w:t>often and 5 = always. The next question was “do you personally do anything to protect yourself from the sun?”, and the response options were either “yes” or “no”. The last item was: “What actions do you take to protect yourself from the sun?”, and the actions listed were 1 = use sun screen, 2 = stay in the shade, 3 = cover up exposed skin, 4 = limit time in the sun and 5 = avoid midday sun (10:00am- 3:00pm). The response options were “yes” or </w:t>
      </w:r>
      <w:r>
        <w:rPr>
          <w:spacing w:val="-2"/>
        </w:rPr>
        <w:t>“no”.</w:t>
      </w:r>
    </w:p>
    <w:p>
      <w:pPr>
        <w:pStyle w:val="BodyText"/>
        <w:spacing w:before="3"/>
      </w:pPr>
    </w:p>
    <w:p>
      <w:pPr>
        <w:pStyle w:val="Heading2"/>
        <w:spacing w:line="250" w:lineRule="exact"/>
        <w:ind w:left="239"/>
        <w:jc w:val="both"/>
      </w:pPr>
      <w:r>
        <w:rPr/>
        <w:t>Statistical</w:t>
      </w:r>
      <w:r>
        <w:rPr>
          <w:spacing w:val="-5"/>
        </w:rPr>
        <w:t> </w:t>
      </w:r>
      <w:r>
        <w:rPr>
          <w:spacing w:val="-2"/>
        </w:rPr>
        <w:t>Analysis</w:t>
      </w:r>
    </w:p>
    <w:p>
      <w:pPr>
        <w:pStyle w:val="BodyText"/>
        <w:ind w:left="239" w:right="38" w:hanging="1"/>
        <w:jc w:val="both"/>
      </w:pPr>
      <w:r>
        <w:rPr/>
        <w:t>The chi-square statistic was used to compare Southern California African American students with those from Maryland on the demographic variables and measures of knowledge, attitude, and protective sun behavior. Independent samples t-tests were used to compare the two student</w:t>
      </w:r>
      <w:r>
        <w:rPr>
          <w:spacing w:val="-3"/>
        </w:rPr>
        <w:t> </w:t>
      </w:r>
      <w:r>
        <w:rPr/>
        <w:t>groups</w:t>
      </w:r>
      <w:r>
        <w:rPr>
          <w:spacing w:val="-3"/>
        </w:rPr>
        <w:t> </w:t>
      </w:r>
      <w:r>
        <w:rPr/>
        <w:t>on</w:t>
      </w:r>
      <w:r>
        <w:rPr>
          <w:spacing w:val="-4"/>
        </w:rPr>
        <w:t> </w:t>
      </w:r>
      <w:r>
        <w:rPr/>
        <w:t>means</w:t>
      </w:r>
      <w:r>
        <w:rPr>
          <w:spacing w:val="-3"/>
        </w:rPr>
        <w:t> </w:t>
      </w:r>
      <w:r>
        <w:rPr/>
        <w:t>for</w:t>
      </w:r>
      <w:r>
        <w:rPr>
          <w:spacing w:val="-3"/>
        </w:rPr>
        <w:t> </w:t>
      </w:r>
      <w:r>
        <w:rPr/>
        <w:t>composite</w:t>
      </w:r>
      <w:r>
        <w:rPr>
          <w:spacing w:val="-3"/>
        </w:rPr>
        <w:t> </w:t>
      </w:r>
      <w:r>
        <w:rPr/>
        <w:t>variables on knowledge, attitude, and behavior. Binary logistic regression models were used to assess differences in sun protection behaviors for Maryland versus southern California while adjusting for known confounders. Data were analyzed using SPSS v.19. (SPSS Inc, Chicago, </w:t>
      </w:r>
      <w:r>
        <w:rPr>
          <w:spacing w:val="-4"/>
        </w:rPr>
        <w:t>IL)</w:t>
      </w:r>
    </w:p>
    <w:p>
      <w:pPr>
        <w:pStyle w:val="Heading2"/>
        <w:spacing w:line="500" w:lineRule="atLeast" w:before="7"/>
        <w:ind w:left="239" w:right="1858" w:firstLine="1816"/>
        <w:jc w:val="both"/>
      </w:pPr>
      <w:r>
        <w:rPr>
          <w:spacing w:val="-2"/>
        </w:rPr>
        <w:t>Results</w:t>
      </w:r>
      <w:r>
        <w:rPr>
          <w:spacing w:val="-2"/>
        </w:rPr>
        <w:t> </w:t>
      </w:r>
      <w:r>
        <w:rPr/>
        <w:t>Descriptive Analysis</w:t>
      </w:r>
    </w:p>
    <w:p>
      <w:pPr>
        <w:pStyle w:val="BodyText"/>
        <w:spacing w:before="1"/>
        <w:ind w:left="239" w:right="38"/>
        <w:jc w:val="both"/>
      </w:pPr>
      <w:r>
        <w:rPr/>
        <w:t>A total of 360 African American students, 180 from a southern California university and 180 from a Maryland university, completed the surveys (Table 1). In general, more women participated in the survey compared to men (54.2%). There were slightly more female participants</w:t>
      </w:r>
      <w:r>
        <w:rPr>
          <w:spacing w:val="-6"/>
        </w:rPr>
        <w:t> </w:t>
      </w:r>
      <w:r>
        <w:rPr/>
        <w:t>in</w:t>
      </w:r>
      <w:r>
        <w:rPr>
          <w:spacing w:val="-5"/>
        </w:rPr>
        <w:t> </w:t>
      </w:r>
      <w:r>
        <w:rPr/>
        <w:t>California</w:t>
      </w:r>
      <w:r>
        <w:rPr>
          <w:spacing w:val="-6"/>
        </w:rPr>
        <w:t> </w:t>
      </w:r>
      <w:r>
        <w:rPr/>
        <w:t>(59.4%)</w:t>
      </w:r>
      <w:r>
        <w:rPr>
          <w:spacing w:val="-5"/>
        </w:rPr>
        <w:t> </w:t>
      </w:r>
      <w:r>
        <w:rPr/>
        <w:t>than</w:t>
      </w:r>
      <w:r>
        <w:rPr>
          <w:spacing w:val="-6"/>
        </w:rPr>
        <w:t> </w:t>
      </w:r>
      <w:r>
        <w:rPr/>
        <w:t>Maryland (49.2%) (</w:t>
      </w:r>
      <w:r>
        <w:rPr>
          <w:i/>
        </w:rPr>
        <w:t>p </w:t>
      </w:r>
      <w:r>
        <w:rPr/>
        <w:t>= 0.057). These participants were almost equally distributed according to the skin types: 115 (32.4%) indicated having light dark skin that tans more than burns (31.1% in California</w:t>
      </w:r>
      <w:r>
        <w:rPr>
          <w:spacing w:val="-5"/>
        </w:rPr>
        <w:t> </w:t>
      </w:r>
      <w:r>
        <w:rPr/>
        <w:t>and</w:t>
      </w:r>
      <w:r>
        <w:rPr>
          <w:spacing w:val="-5"/>
        </w:rPr>
        <w:t> </w:t>
      </w:r>
      <w:r>
        <w:rPr/>
        <w:t>32.8%</w:t>
      </w:r>
      <w:r>
        <w:rPr>
          <w:spacing w:val="-2"/>
        </w:rPr>
        <w:t> </w:t>
      </w:r>
      <w:r>
        <w:rPr/>
        <w:t>in</w:t>
      </w:r>
      <w:r>
        <w:rPr>
          <w:spacing w:val="-5"/>
        </w:rPr>
        <w:t> </w:t>
      </w:r>
      <w:r>
        <w:rPr/>
        <w:t>Maryland),</w:t>
      </w:r>
      <w:r>
        <w:rPr>
          <w:spacing w:val="-3"/>
        </w:rPr>
        <w:t> </w:t>
      </w:r>
      <w:r>
        <w:rPr/>
        <w:t>137</w:t>
      </w:r>
      <w:r>
        <w:rPr>
          <w:spacing w:val="-5"/>
        </w:rPr>
        <w:t> </w:t>
      </w:r>
      <w:r>
        <w:rPr/>
        <w:t>(38.6%) indicated a darker skin type which rarely burns but tans darkly (40.0% in California and 36.1% in Maryland), and 103 (29%) indicated having dark</w:t>
      </w:r>
      <w:r>
        <w:rPr>
          <w:spacing w:val="1"/>
        </w:rPr>
        <w:t> </w:t>
      </w:r>
      <w:r>
        <w:rPr/>
        <w:t>skin</w:t>
      </w:r>
      <w:r>
        <w:rPr>
          <w:spacing w:val="5"/>
        </w:rPr>
        <w:t> </w:t>
      </w:r>
      <w:r>
        <w:rPr/>
        <w:t>which</w:t>
      </w:r>
      <w:r>
        <w:rPr>
          <w:spacing w:val="4"/>
        </w:rPr>
        <w:t> </w:t>
      </w:r>
      <w:r>
        <w:rPr/>
        <w:t>never</w:t>
      </w:r>
      <w:r>
        <w:rPr>
          <w:spacing w:val="3"/>
        </w:rPr>
        <w:t> </w:t>
      </w:r>
      <w:r>
        <w:rPr/>
        <w:t>burns</w:t>
      </w:r>
      <w:r>
        <w:rPr>
          <w:spacing w:val="5"/>
        </w:rPr>
        <w:t> </w:t>
      </w:r>
      <w:r>
        <w:rPr/>
        <w:t>with</w:t>
      </w:r>
      <w:r>
        <w:rPr>
          <w:spacing w:val="4"/>
        </w:rPr>
        <w:t> </w:t>
      </w:r>
      <w:r>
        <w:rPr/>
        <w:t>dark</w:t>
      </w:r>
      <w:r>
        <w:rPr>
          <w:spacing w:val="3"/>
        </w:rPr>
        <w:t> </w:t>
      </w:r>
      <w:r>
        <w:rPr/>
        <w:t>even</w:t>
      </w:r>
      <w:r>
        <w:rPr>
          <w:spacing w:val="5"/>
        </w:rPr>
        <w:t> </w:t>
      </w:r>
      <w:r>
        <w:rPr>
          <w:spacing w:val="-4"/>
        </w:rPr>
        <w:t>tans</w:t>
      </w:r>
    </w:p>
    <w:p>
      <w:pPr>
        <w:pStyle w:val="BodyText"/>
        <w:spacing w:line="252" w:lineRule="exact" w:before="82"/>
        <w:ind w:left="239"/>
        <w:jc w:val="both"/>
        <w:rPr>
          <w:i/>
        </w:rPr>
      </w:pPr>
      <w:r>
        <w:rPr/>
        <w:br w:type="column"/>
      </w:r>
      <w:r>
        <w:rPr/>
        <w:t>(28.3%</w:t>
      </w:r>
      <w:r>
        <w:rPr>
          <w:spacing w:val="4"/>
        </w:rPr>
        <w:t> </w:t>
      </w:r>
      <w:r>
        <w:rPr/>
        <w:t>in</w:t>
      </w:r>
      <w:r>
        <w:rPr>
          <w:spacing w:val="6"/>
        </w:rPr>
        <w:t> </w:t>
      </w:r>
      <w:r>
        <w:rPr/>
        <w:t>California</w:t>
      </w:r>
      <w:r>
        <w:rPr>
          <w:spacing w:val="7"/>
        </w:rPr>
        <w:t> </w:t>
      </w:r>
      <w:r>
        <w:rPr/>
        <w:t>and</w:t>
      </w:r>
      <w:r>
        <w:rPr>
          <w:spacing w:val="5"/>
        </w:rPr>
        <w:t> </w:t>
      </w:r>
      <w:r>
        <w:rPr/>
        <w:t>28.9%</w:t>
      </w:r>
      <w:r>
        <w:rPr>
          <w:spacing w:val="5"/>
        </w:rPr>
        <w:t> </w:t>
      </w:r>
      <w:r>
        <w:rPr/>
        <w:t>in</w:t>
      </w:r>
      <w:r>
        <w:rPr>
          <w:spacing w:val="4"/>
        </w:rPr>
        <w:t> </w:t>
      </w:r>
      <w:r>
        <w:rPr/>
        <w:t>Maryland)</w:t>
      </w:r>
      <w:r>
        <w:rPr>
          <w:spacing w:val="5"/>
        </w:rPr>
        <w:t> </w:t>
      </w:r>
      <w:r>
        <w:rPr>
          <w:spacing w:val="-5"/>
        </w:rPr>
        <w:t>(</w:t>
      </w:r>
      <w:r>
        <w:rPr>
          <w:i/>
          <w:spacing w:val="-5"/>
        </w:rPr>
        <w:t>p</w:t>
      </w:r>
    </w:p>
    <w:p>
      <w:pPr>
        <w:pStyle w:val="BodyText"/>
        <w:ind w:left="240" w:right="554"/>
        <w:jc w:val="both"/>
      </w:pPr>
      <w:r>
        <w:rPr/>
        <w:t>= 0.81). Not all respondents answered every single</w:t>
      </w:r>
      <w:r>
        <w:rPr>
          <w:spacing w:val="-4"/>
        </w:rPr>
        <w:t> </w:t>
      </w:r>
      <w:r>
        <w:rPr/>
        <w:t>question.</w:t>
      </w:r>
      <w:r>
        <w:rPr>
          <w:spacing w:val="-7"/>
        </w:rPr>
        <w:t> </w:t>
      </w:r>
      <w:r>
        <w:rPr/>
        <w:t>The</w:t>
      </w:r>
      <w:r>
        <w:rPr>
          <w:spacing w:val="-4"/>
        </w:rPr>
        <w:t> </w:t>
      </w:r>
      <w:r>
        <w:rPr/>
        <w:t>mean</w:t>
      </w:r>
      <w:r>
        <w:rPr>
          <w:spacing w:val="-4"/>
        </w:rPr>
        <w:t> </w:t>
      </w:r>
      <w:r>
        <w:rPr/>
        <w:t>age</w:t>
      </w:r>
      <w:r>
        <w:rPr>
          <w:spacing w:val="-4"/>
        </w:rPr>
        <w:t> </w:t>
      </w:r>
      <w:r>
        <w:rPr/>
        <w:t>of</w:t>
      </w:r>
      <w:r>
        <w:rPr>
          <w:spacing w:val="-3"/>
        </w:rPr>
        <w:t> </w:t>
      </w:r>
      <w:r>
        <w:rPr/>
        <w:t>the</w:t>
      </w:r>
      <w:r>
        <w:rPr>
          <w:spacing w:val="-4"/>
        </w:rPr>
        <w:t> </w:t>
      </w:r>
      <w:r>
        <w:rPr/>
        <w:t>participants was 23 years with a standard deviation of 4.7.</w:t>
      </w:r>
    </w:p>
    <w:p>
      <w:pPr>
        <w:pStyle w:val="BodyText"/>
        <w:spacing w:before="4"/>
      </w:pPr>
    </w:p>
    <w:p>
      <w:pPr>
        <w:spacing w:line="252" w:lineRule="exact" w:before="1"/>
        <w:ind w:left="0" w:right="317" w:firstLine="0"/>
        <w:jc w:val="center"/>
        <w:rPr>
          <w:b/>
          <w:sz w:val="22"/>
        </w:rPr>
      </w:pPr>
      <w:r>
        <w:rPr>
          <w:b/>
          <w:sz w:val="22"/>
        </w:rPr>
        <w:t>Table</w:t>
      </w:r>
      <w:r>
        <w:rPr>
          <w:b/>
          <w:spacing w:val="-1"/>
          <w:sz w:val="22"/>
        </w:rPr>
        <w:t> </w:t>
      </w:r>
      <w:r>
        <w:rPr>
          <w:b/>
          <w:spacing w:val="-10"/>
          <w:sz w:val="22"/>
        </w:rPr>
        <w:t>1</w:t>
      </w:r>
    </w:p>
    <w:p>
      <w:pPr>
        <w:spacing w:before="0"/>
        <w:ind w:left="224" w:right="541" w:firstLine="0"/>
        <w:jc w:val="center"/>
        <w:rPr>
          <w:b/>
          <w:sz w:val="22"/>
        </w:rPr>
      </w:pPr>
      <w:r>
        <w:rPr>
          <w:b/>
          <w:sz w:val="22"/>
        </w:rPr>
        <w:t>Demographic</w:t>
      </w:r>
      <w:r>
        <w:rPr>
          <w:b/>
          <w:spacing w:val="-9"/>
          <w:sz w:val="22"/>
        </w:rPr>
        <w:t> </w:t>
      </w:r>
      <w:r>
        <w:rPr>
          <w:b/>
          <w:sz w:val="22"/>
        </w:rPr>
        <w:t>Characteristics</w:t>
      </w:r>
      <w:r>
        <w:rPr>
          <w:b/>
          <w:spacing w:val="-9"/>
          <w:sz w:val="22"/>
        </w:rPr>
        <w:t> </w:t>
      </w:r>
      <w:r>
        <w:rPr>
          <w:b/>
          <w:sz w:val="22"/>
        </w:rPr>
        <w:t>of</w:t>
      </w:r>
      <w:r>
        <w:rPr>
          <w:b/>
          <w:spacing w:val="-8"/>
          <w:sz w:val="22"/>
        </w:rPr>
        <w:t> </w:t>
      </w:r>
      <w:r>
        <w:rPr>
          <w:b/>
          <w:sz w:val="22"/>
        </w:rPr>
        <w:t>the</w:t>
      </w:r>
      <w:r>
        <w:rPr>
          <w:b/>
          <w:spacing w:val="-9"/>
          <w:sz w:val="22"/>
        </w:rPr>
        <w:t> </w:t>
      </w:r>
      <w:r>
        <w:rPr>
          <w:b/>
          <w:sz w:val="22"/>
        </w:rPr>
        <w:t>Sample, for California (CA) and Maryland (MD)</w:t>
      </w:r>
    </w:p>
    <w:p>
      <w:pPr>
        <w:pStyle w:val="BodyText"/>
        <w:spacing w:before="42"/>
        <w:rPr>
          <w:b/>
          <w:sz w:val="20"/>
        </w:r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7"/>
        <w:gridCol w:w="675"/>
        <w:gridCol w:w="691"/>
        <w:gridCol w:w="1220"/>
        <w:gridCol w:w="805"/>
      </w:tblGrid>
      <w:tr>
        <w:trPr>
          <w:trHeight w:val="417" w:hRule="atLeast"/>
        </w:trPr>
        <w:tc>
          <w:tcPr>
            <w:tcW w:w="1327" w:type="dxa"/>
            <w:tcBorders>
              <w:top w:val="single" w:sz="12" w:space="0" w:color="000000"/>
            </w:tcBorders>
          </w:tcPr>
          <w:p>
            <w:pPr>
              <w:pStyle w:val="TableParagraph"/>
              <w:jc w:val="left"/>
              <w:rPr>
                <w:sz w:val="20"/>
              </w:rPr>
            </w:pPr>
          </w:p>
        </w:tc>
        <w:tc>
          <w:tcPr>
            <w:tcW w:w="675" w:type="dxa"/>
            <w:tcBorders>
              <w:top w:val="single" w:sz="12" w:space="0" w:color="000000"/>
            </w:tcBorders>
          </w:tcPr>
          <w:p>
            <w:pPr>
              <w:pStyle w:val="TableParagraph"/>
              <w:spacing w:line="202" w:lineRule="exact"/>
              <w:ind w:left="88" w:right="112"/>
              <w:rPr>
                <w:sz w:val="18"/>
              </w:rPr>
            </w:pPr>
            <w:r>
              <w:rPr>
                <w:spacing w:val="-5"/>
                <w:sz w:val="18"/>
              </w:rPr>
              <w:t>CA</w:t>
            </w:r>
          </w:p>
        </w:tc>
        <w:tc>
          <w:tcPr>
            <w:tcW w:w="691" w:type="dxa"/>
            <w:tcBorders>
              <w:top w:val="single" w:sz="12" w:space="0" w:color="000000"/>
            </w:tcBorders>
          </w:tcPr>
          <w:p>
            <w:pPr>
              <w:pStyle w:val="TableParagraph"/>
              <w:spacing w:line="202" w:lineRule="exact"/>
              <w:ind w:left="47" w:right="2"/>
              <w:rPr>
                <w:sz w:val="18"/>
              </w:rPr>
            </w:pPr>
            <w:r>
              <w:rPr>
                <w:spacing w:val="-5"/>
                <w:sz w:val="18"/>
              </w:rPr>
              <w:t>MD</w:t>
            </w:r>
          </w:p>
        </w:tc>
        <w:tc>
          <w:tcPr>
            <w:tcW w:w="1220" w:type="dxa"/>
            <w:tcBorders>
              <w:top w:val="single" w:sz="12" w:space="0" w:color="000000"/>
            </w:tcBorders>
          </w:tcPr>
          <w:p>
            <w:pPr>
              <w:pStyle w:val="TableParagraph"/>
              <w:spacing w:line="201" w:lineRule="exact"/>
              <w:ind w:left="73" w:right="51"/>
              <w:rPr>
                <w:sz w:val="18"/>
              </w:rPr>
            </w:pPr>
            <w:r>
              <w:rPr>
                <w:spacing w:val="-2"/>
                <w:sz w:val="18"/>
              </w:rPr>
              <w:t>Total</w:t>
            </w:r>
          </w:p>
          <w:p>
            <w:pPr>
              <w:pStyle w:val="TableParagraph"/>
              <w:tabs>
                <w:tab w:pos="2020" w:val="left" w:leader="none"/>
              </w:tabs>
              <w:spacing w:line="196" w:lineRule="exact"/>
              <w:ind w:left="-2679" w:right="-807"/>
              <w:rPr>
                <w:sz w:val="18"/>
              </w:rPr>
            </w:pPr>
            <w:r>
              <w:rPr>
                <w:spacing w:val="76"/>
                <w:w w:val="150"/>
                <w:sz w:val="18"/>
                <w:u w:val="single"/>
              </w:rPr>
              <w:t>                     </w:t>
            </w:r>
            <w:r>
              <w:rPr>
                <w:sz w:val="18"/>
                <w:u w:val="single"/>
              </w:rPr>
              <w:t>and</w:t>
            </w:r>
            <w:r>
              <w:rPr>
                <w:spacing w:val="1"/>
                <w:sz w:val="18"/>
                <w:u w:val="single"/>
              </w:rPr>
              <w:t> </w:t>
            </w:r>
            <w:r>
              <w:rPr>
                <w:spacing w:val="-5"/>
                <w:sz w:val="18"/>
                <w:u w:val="single"/>
              </w:rPr>
              <w:t>(%)</w:t>
            </w:r>
            <w:r>
              <w:rPr>
                <w:sz w:val="18"/>
                <w:u w:val="single"/>
              </w:rPr>
              <w:tab/>
            </w:r>
          </w:p>
        </w:tc>
        <w:tc>
          <w:tcPr>
            <w:tcW w:w="805" w:type="dxa"/>
            <w:tcBorders>
              <w:top w:val="single" w:sz="12" w:space="0" w:color="000000"/>
            </w:tcBorders>
          </w:tcPr>
          <w:p>
            <w:pPr>
              <w:pStyle w:val="TableParagraph"/>
              <w:spacing w:line="202" w:lineRule="exact"/>
              <w:ind w:right="12"/>
              <w:rPr>
                <w:sz w:val="18"/>
              </w:rPr>
            </w:pPr>
            <w:r>
              <w:rPr>
                <w:sz w:val="18"/>
              </w:rPr>
              <w:t>P-</w:t>
            </w:r>
            <w:r>
              <w:rPr>
                <w:spacing w:val="-2"/>
                <w:sz w:val="18"/>
              </w:rPr>
              <w:t>value</w:t>
            </w:r>
          </w:p>
        </w:tc>
      </w:tr>
      <w:tr>
        <w:trPr>
          <w:trHeight w:val="320" w:hRule="atLeast"/>
        </w:trPr>
        <w:tc>
          <w:tcPr>
            <w:tcW w:w="1327" w:type="dxa"/>
          </w:tcPr>
          <w:p>
            <w:pPr>
              <w:pStyle w:val="TableParagraph"/>
              <w:spacing w:before="6"/>
              <w:ind w:left="122"/>
              <w:jc w:val="left"/>
              <w:rPr>
                <w:b/>
                <w:sz w:val="18"/>
              </w:rPr>
            </w:pPr>
            <w:r>
              <w:rPr>
                <w:b/>
                <w:sz w:val="18"/>
              </w:rPr>
              <w:t>Sample</w:t>
            </w:r>
            <w:r>
              <w:rPr>
                <w:b/>
                <w:spacing w:val="-4"/>
                <w:sz w:val="18"/>
              </w:rPr>
              <w:t> </w:t>
            </w:r>
            <w:r>
              <w:rPr>
                <w:b/>
                <w:spacing w:val="-5"/>
                <w:sz w:val="18"/>
              </w:rPr>
              <w:t>(n)</w:t>
            </w:r>
          </w:p>
        </w:tc>
        <w:tc>
          <w:tcPr>
            <w:tcW w:w="675" w:type="dxa"/>
          </w:tcPr>
          <w:p>
            <w:pPr>
              <w:pStyle w:val="TableParagraph"/>
              <w:spacing w:before="2"/>
              <w:ind w:left="2" w:right="112"/>
              <w:rPr>
                <w:sz w:val="18"/>
              </w:rPr>
            </w:pPr>
            <w:r>
              <w:rPr>
                <w:spacing w:val="-5"/>
                <w:sz w:val="18"/>
              </w:rPr>
              <w:t>180</w:t>
            </w:r>
          </w:p>
        </w:tc>
        <w:tc>
          <w:tcPr>
            <w:tcW w:w="691" w:type="dxa"/>
          </w:tcPr>
          <w:p>
            <w:pPr>
              <w:pStyle w:val="TableParagraph"/>
              <w:spacing w:before="2"/>
              <w:ind w:left="47"/>
              <w:rPr>
                <w:sz w:val="18"/>
              </w:rPr>
            </w:pPr>
            <w:r>
              <w:rPr>
                <w:spacing w:val="-5"/>
                <w:sz w:val="18"/>
              </w:rPr>
              <w:t>180</w:t>
            </w:r>
          </w:p>
        </w:tc>
        <w:tc>
          <w:tcPr>
            <w:tcW w:w="1220" w:type="dxa"/>
          </w:tcPr>
          <w:p>
            <w:pPr>
              <w:pStyle w:val="TableParagraph"/>
              <w:spacing w:before="2"/>
              <w:ind w:left="73"/>
              <w:rPr>
                <w:sz w:val="18"/>
              </w:rPr>
            </w:pPr>
            <w:r>
              <w:rPr>
                <w:sz w:val="18"/>
              </w:rPr>
              <w:t>360</w:t>
            </w:r>
            <w:r>
              <w:rPr>
                <w:spacing w:val="1"/>
                <w:sz w:val="18"/>
              </w:rPr>
              <w:t> </w:t>
            </w:r>
            <w:r>
              <w:rPr>
                <w:spacing w:val="-2"/>
                <w:sz w:val="18"/>
              </w:rPr>
              <w:t>(100%)</w:t>
            </w:r>
          </w:p>
        </w:tc>
        <w:tc>
          <w:tcPr>
            <w:tcW w:w="805" w:type="dxa"/>
          </w:tcPr>
          <w:p>
            <w:pPr>
              <w:pStyle w:val="TableParagraph"/>
              <w:jc w:val="left"/>
              <w:rPr>
                <w:sz w:val="20"/>
              </w:rPr>
            </w:pPr>
          </w:p>
        </w:tc>
      </w:tr>
      <w:tr>
        <w:trPr>
          <w:trHeight w:val="513" w:hRule="atLeast"/>
        </w:trPr>
        <w:tc>
          <w:tcPr>
            <w:tcW w:w="1327" w:type="dxa"/>
          </w:tcPr>
          <w:p>
            <w:pPr>
              <w:pStyle w:val="TableParagraph"/>
              <w:spacing w:line="205" w:lineRule="exact" w:before="99"/>
              <w:ind w:left="122"/>
              <w:jc w:val="left"/>
              <w:rPr>
                <w:b/>
                <w:sz w:val="18"/>
              </w:rPr>
            </w:pPr>
            <w:r>
              <w:rPr>
                <w:b/>
                <w:spacing w:val="-2"/>
                <w:sz w:val="18"/>
              </w:rPr>
              <w:t>Gender</w:t>
            </w:r>
          </w:p>
          <w:p>
            <w:pPr>
              <w:pStyle w:val="TableParagraph"/>
              <w:spacing w:line="189" w:lineRule="exact"/>
              <w:ind w:left="122"/>
              <w:jc w:val="left"/>
              <w:rPr>
                <w:sz w:val="18"/>
              </w:rPr>
            </w:pPr>
            <w:r>
              <w:rPr>
                <w:spacing w:val="-4"/>
                <w:sz w:val="18"/>
              </w:rPr>
              <w:t>Male</w:t>
            </w:r>
          </w:p>
        </w:tc>
        <w:tc>
          <w:tcPr>
            <w:tcW w:w="675" w:type="dxa"/>
          </w:tcPr>
          <w:p>
            <w:pPr>
              <w:pStyle w:val="TableParagraph"/>
              <w:spacing w:before="96"/>
              <w:jc w:val="left"/>
              <w:rPr>
                <w:b/>
                <w:sz w:val="18"/>
              </w:rPr>
            </w:pPr>
          </w:p>
          <w:p>
            <w:pPr>
              <w:pStyle w:val="TableParagraph"/>
              <w:spacing w:line="191" w:lineRule="exact"/>
              <w:ind w:left="88" w:right="112"/>
              <w:rPr>
                <w:sz w:val="18"/>
              </w:rPr>
            </w:pPr>
            <w:r>
              <w:rPr>
                <w:spacing w:val="-5"/>
                <w:sz w:val="18"/>
              </w:rPr>
              <w:t>73</w:t>
            </w:r>
          </w:p>
        </w:tc>
        <w:tc>
          <w:tcPr>
            <w:tcW w:w="691" w:type="dxa"/>
          </w:tcPr>
          <w:p>
            <w:pPr>
              <w:pStyle w:val="TableParagraph"/>
              <w:spacing w:before="96"/>
              <w:jc w:val="left"/>
              <w:rPr>
                <w:b/>
                <w:sz w:val="18"/>
              </w:rPr>
            </w:pPr>
          </w:p>
          <w:p>
            <w:pPr>
              <w:pStyle w:val="TableParagraph"/>
              <w:spacing w:line="191" w:lineRule="exact"/>
              <w:ind w:left="47"/>
              <w:rPr>
                <w:sz w:val="18"/>
              </w:rPr>
            </w:pPr>
            <w:r>
              <w:rPr>
                <w:spacing w:val="-5"/>
                <w:sz w:val="18"/>
              </w:rPr>
              <w:t>90</w:t>
            </w:r>
          </w:p>
        </w:tc>
        <w:tc>
          <w:tcPr>
            <w:tcW w:w="1220" w:type="dxa"/>
          </w:tcPr>
          <w:p>
            <w:pPr>
              <w:pStyle w:val="TableParagraph"/>
              <w:spacing w:before="96"/>
              <w:jc w:val="left"/>
              <w:rPr>
                <w:b/>
                <w:sz w:val="18"/>
              </w:rPr>
            </w:pPr>
          </w:p>
          <w:p>
            <w:pPr>
              <w:pStyle w:val="TableParagraph"/>
              <w:spacing w:line="191" w:lineRule="exact"/>
              <w:ind w:left="73" w:right="48"/>
              <w:rPr>
                <w:sz w:val="18"/>
              </w:rPr>
            </w:pPr>
            <w:r>
              <w:rPr>
                <w:sz w:val="18"/>
              </w:rPr>
              <w:t>163</w:t>
            </w:r>
            <w:r>
              <w:rPr>
                <w:spacing w:val="1"/>
                <w:sz w:val="18"/>
              </w:rPr>
              <w:t> </w:t>
            </w:r>
            <w:r>
              <w:rPr>
                <w:spacing w:val="-2"/>
                <w:sz w:val="18"/>
              </w:rPr>
              <w:t>(45.8%)</w:t>
            </w:r>
          </w:p>
        </w:tc>
        <w:tc>
          <w:tcPr>
            <w:tcW w:w="805" w:type="dxa"/>
          </w:tcPr>
          <w:p>
            <w:pPr>
              <w:pStyle w:val="TableParagraph"/>
              <w:jc w:val="left"/>
              <w:rPr>
                <w:sz w:val="20"/>
              </w:rPr>
            </w:pPr>
          </w:p>
        </w:tc>
      </w:tr>
      <w:tr>
        <w:trPr>
          <w:trHeight w:val="206" w:hRule="atLeast"/>
        </w:trPr>
        <w:tc>
          <w:tcPr>
            <w:tcW w:w="1327" w:type="dxa"/>
          </w:tcPr>
          <w:p>
            <w:pPr>
              <w:pStyle w:val="TableParagraph"/>
              <w:jc w:val="left"/>
              <w:rPr>
                <w:sz w:val="14"/>
              </w:rPr>
            </w:pPr>
          </w:p>
        </w:tc>
        <w:tc>
          <w:tcPr>
            <w:tcW w:w="675" w:type="dxa"/>
          </w:tcPr>
          <w:p>
            <w:pPr>
              <w:pStyle w:val="TableParagraph"/>
              <w:jc w:val="left"/>
              <w:rPr>
                <w:sz w:val="14"/>
              </w:rPr>
            </w:pPr>
          </w:p>
        </w:tc>
        <w:tc>
          <w:tcPr>
            <w:tcW w:w="691" w:type="dxa"/>
          </w:tcPr>
          <w:p>
            <w:pPr>
              <w:pStyle w:val="TableParagraph"/>
              <w:jc w:val="left"/>
              <w:rPr>
                <w:sz w:val="14"/>
              </w:rPr>
            </w:pPr>
          </w:p>
        </w:tc>
        <w:tc>
          <w:tcPr>
            <w:tcW w:w="1220" w:type="dxa"/>
          </w:tcPr>
          <w:p>
            <w:pPr>
              <w:pStyle w:val="TableParagraph"/>
              <w:jc w:val="left"/>
              <w:rPr>
                <w:sz w:val="14"/>
              </w:rPr>
            </w:pPr>
          </w:p>
        </w:tc>
        <w:tc>
          <w:tcPr>
            <w:tcW w:w="805" w:type="dxa"/>
          </w:tcPr>
          <w:p>
            <w:pPr>
              <w:pStyle w:val="TableParagraph"/>
              <w:spacing w:line="186" w:lineRule="exact"/>
              <w:ind w:right="12"/>
              <w:rPr>
                <w:sz w:val="18"/>
              </w:rPr>
            </w:pPr>
            <w:r>
              <w:rPr>
                <w:spacing w:val="-2"/>
                <w:sz w:val="18"/>
              </w:rPr>
              <w:t>0.057</w:t>
            </w:r>
          </w:p>
        </w:tc>
      </w:tr>
      <w:tr>
        <w:trPr>
          <w:trHeight w:val="313" w:hRule="atLeast"/>
        </w:trPr>
        <w:tc>
          <w:tcPr>
            <w:tcW w:w="1327" w:type="dxa"/>
          </w:tcPr>
          <w:p>
            <w:pPr>
              <w:pStyle w:val="TableParagraph"/>
              <w:spacing w:line="203" w:lineRule="exact"/>
              <w:ind w:left="122"/>
              <w:jc w:val="left"/>
              <w:rPr>
                <w:sz w:val="18"/>
              </w:rPr>
            </w:pPr>
            <w:r>
              <w:rPr>
                <w:spacing w:val="-2"/>
                <w:sz w:val="18"/>
              </w:rPr>
              <w:t>Female</w:t>
            </w:r>
          </w:p>
        </w:tc>
        <w:tc>
          <w:tcPr>
            <w:tcW w:w="675" w:type="dxa"/>
          </w:tcPr>
          <w:p>
            <w:pPr>
              <w:pStyle w:val="TableParagraph"/>
              <w:spacing w:line="203" w:lineRule="exact"/>
              <w:ind w:left="2" w:right="112"/>
              <w:rPr>
                <w:sz w:val="18"/>
              </w:rPr>
            </w:pPr>
            <w:r>
              <w:rPr>
                <w:spacing w:val="-5"/>
                <w:sz w:val="18"/>
              </w:rPr>
              <w:t>106</w:t>
            </w:r>
          </w:p>
        </w:tc>
        <w:tc>
          <w:tcPr>
            <w:tcW w:w="691" w:type="dxa"/>
          </w:tcPr>
          <w:p>
            <w:pPr>
              <w:pStyle w:val="TableParagraph"/>
              <w:spacing w:line="203" w:lineRule="exact"/>
              <w:ind w:left="47"/>
              <w:rPr>
                <w:sz w:val="18"/>
              </w:rPr>
            </w:pPr>
            <w:r>
              <w:rPr>
                <w:spacing w:val="-5"/>
                <w:sz w:val="18"/>
              </w:rPr>
              <w:t>87</w:t>
            </w:r>
          </w:p>
        </w:tc>
        <w:tc>
          <w:tcPr>
            <w:tcW w:w="1220" w:type="dxa"/>
          </w:tcPr>
          <w:p>
            <w:pPr>
              <w:pStyle w:val="TableParagraph"/>
              <w:spacing w:line="203" w:lineRule="exact"/>
              <w:ind w:left="73" w:right="5"/>
              <w:rPr>
                <w:sz w:val="18"/>
              </w:rPr>
            </w:pPr>
            <w:r>
              <w:rPr>
                <w:sz w:val="18"/>
              </w:rPr>
              <w:t>193</w:t>
            </w:r>
            <w:r>
              <w:rPr>
                <w:spacing w:val="1"/>
                <w:sz w:val="18"/>
              </w:rPr>
              <w:t> </w:t>
            </w:r>
            <w:r>
              <w:rPr>
                <w:spacing w:val="-2"/>
                <w:sz w:val="18"/>
              </w:rPr>
              <w:t>(54.2%)</w:t>
            </w:r>
          </w:p>
        </w:tc>
        <w:tc>
          <w:tcPr>
            <w:tcW w:w="805" w:type="dxa"/>
          </w:tcPr>
          <w:p>
            <w:pPr>
              <w:pStyle w:val="TableParagraph"/>
              <w:jc w:val="left"/>
              <w:rPr>
                <w:sz w:val="20"/>
              </w:rPr>
            </w:pPr>
          </w:p>
        </w:tc>
      </w:tr>
      <w:tr>
        <w:trPr>
          <w:trHeight w:val="310" w:hRule="atLeast"/>
        </w:trPr>
        <w:tc>
          <w:tcPr>
            <w:tcW w:w="1327" w:type="dxa"/>
          </w:tcPr>
          <w:p>
            <w:pPr>
              <w:pStyle w:val="TableParagraph"/>
              <w:spacing w:line="188" w:lineRule="exact" w:before="102"/>
              <w:ind w:left="122"/>
              <w:jc w:val="left"/>
              <w:rPr>
                <w:b/>
                <w:sz w:val="18"/>
              </w:rPr>
            </w:pPr>
            <w:r>
              <w:rPr>
                <w:b/>
                <w:sz w:val="18"/>
              </w:rPr>
              <w:t>Skin</w:t>
            </w:r>
            <w:r>
              <w:rPr>
                <w:b/>
                <w:spacing w:val="-5"/>
                <w:sz w:val="18"/>
              </w:rPr>
              <w:t> </w:t>
            </w:r>
            <w:r>
              <w:rPr>
                <w:b/>
                <w:spacing w:val="-4"/>
                <w:sz w:val="18"/>
              </w:rPr>
              <w:t>type</w:t>
            </w:r>
          </w:p>
        </w:tc>
        <w:tc>
          <w:tcPr>
            <w:tcW w:w="675" w:type="dxa"/>
          </w:tcPr>
          <w:p>
            <w:pPr>
              <w:pStyle w:val="TableParagraph"/>
              <w:jc w:val="left"/>
              <w:rPr>
                <w:sz w:val="20"/>
              </w:rPr>
            </w:pPr>
          </w:p>
        </w:tc>
        <w:tc>
          <w:tcPr>
            <w:tcW w:w="691" w:type="dxa"/>
          </w:tcPr>
          <w:p>
            <w:pPr>
              <w:pStyle w:val="TableParagraph"/>
              <w:jc w:val="left"/>
              <w:rPr>
                <w:sz w:val="20"/>
              </w:rPr>
            </w:pPr>
          </w:p>
        </w:tc>
        <w:tc>
          <w:tcPr>
            <w:tcW w:w="1220" w:type="dxa"/>
          </w:tcPr>
          <w:p>
            <w:pPr>
              <w:pStyle w:val="TableParagraph"/>
              <w:jc w:val="left"/>
              <w:rPr>
                <w:sz w:val="20"/>
              </w:rPr>
            </w:pPr>
          </w:p>
        </w:tc>
        <w:tc>
          <w:tcPr>
            <w:tcW w:w="805" w:type="dxa"/>
          </w:tcPr>
          <w:p>
            <w:pPr>
              <w:pStyle w:val="TableParagraph"/>
              <w:jc w:val="left"/>
              <w:rPr>
                <w:sz w:val="20"/>
              </w:rPr>
            </w:pPr>
          </w:p>
        </w:tc>
      </w:tr>
      <w:tr>
        <w:trPr>
          <w:trHeight w:val="204" w:hRule="atLeast"/>
        </w:trPr>
        <w:tc>
          <w:tcPr>
            <w:tcW w:w="1327" w:type="dxa"/>
          </w:tcPr>
          <w:p>
            <w:pPr>
              <w:pStyle w:val="TableParagraph"/>
              <w:spacing w:line="184" w:lineRule="exact"/>
              <w:ind w:left="122"/>
              <w:jc w:val="left"/>
              <w:rPr>
                <w:sz w:val="18"/>
              </w:rPr>
            </w:pPr>
            <w:r>
              <w:rPr>
                <w:sz w:val="18"/>
              </w:rPr>
              <w:t>Light</w:t>
            </w:r>
            <w:r>
              <w:rPr>
                <w:spacing w:val="-3"/>
                <w:sz w:val="18"/>
              </w:rPr>
              <w:t> </w:t>
            </w:r>
            <w:r>
              <w:rPr>
                <w:spacing w:val="-2"/>
                <w:sz w:val="18"/>
              </w:rPr>
              <w:t>dark,</w:t>
            </w:r>
          </w:p>
        </w:tc>
        <w:tc>
          <w:tcPr>
            <w:tcW w:w="675" w:type="dxa"/>
          </w:tcPr>
          <w:p>
            <w:pPr>
              <w:pStyle w:val="TableParagraph"/>
              <w:jc w:val="left"/>
              <w:rPr>
                <w:sz w:val="14"/>
              </w:rPr>
            </w:pPr>
          </w:p>
        </w:tc>
        <w:tc>
          <w:tcPr>
            <w:tcW w:w="691" w:type="dxa"/>
          </w:tcPr>
          <w:p>
            <w:pPr>
              <w:pStyle w:val="TableParagraph"/>
              <w:jc w:val="left"/>
              <w:rPr>
                <w:sz w:val="14"/>
              </w:rPr>
            </w:pPr>
          </w:p>
        </w:tc>
        <w:tc>
          <w:tcPr>
            <w:tcW w:w="1220" w:type="dxa"/>
          </w:tcPr>
          <w:p>
            <w:pPr>
              <w:pStyle w:val="TableParagraph"/>
              <w:jc w:val="left"/>
              <w:rPr>
                <w:sz w:val="14"/>
              </w:rPr>
            </w:pPr>
          </w:p>
        </w:tc>
        <w:tc>
          <w:tcPr>
            <w:tcW w:w="805" w:type="dxa"/>
          </w:tcPr>
          <w:p>
            <w:pPr>
              <w:pStyle w:val="TableParagraph"/>
              <w:jc w:val="left"/>
              <w:rPr>
                <w:sz w:val="14"/>
              </w:rPr>
            </w:pPr>
          </w:p>
        </w:tc>
      </w:tr>
      <w:tr>
        <w:trPr>
          <w:trHeight w:val="206" w:hRule="atLeast"/>
        </w:trPr>
        <w:tc>
          <w:tcPr>
            <w:tcW w:w="1327" w:type="dxa"/>
          </w:tcPr>
          <w:p>
            <w:pPr>
              <w:pStyle w:val="TableParagraph"/>
              <w:spacing w:line="186" w:lineRule="exact"/>
              <w:ind w:left="122"/>
              <w:jc w:val="left"/>
              <w:rPr>
                <w:sz w:val="18"/>
              </w:rPr>
            </w:pPr>
            <w:r>
              <w:rPr>
                <w:sz w:val="18"/>
              </w:rPr>
              <w:t>tans</w:t>
            </w:r>
            <w:r>
              <w:rPr>
                <w:spacing w:val="-4"/>
                <w:sz w:val="18"/>
              </w:rPr>
              <w:t> </w:t>
            </w:r>
            <w:r>
              <w:rPr>
                <w:sz w:val="18"/>
              </w:rPr>
              <w:t>more</w:t>
            </w:r>
            <w:r>
              <w:rPr>
                <w:spacing w:val="-2"/>
                <w:sz w:val="18"/>
              </w:rPr>
              <w:t> </w:t>
            </w:r>
            <w:r>
              <w:rPr>
                <w:spacing w:val="-4"/>
                <w:sz w:val="18"/>
              </w:rPr>
              <w:t>than</w:t>
            </w:r>
          </w:p>
        </w:tc>
        <w:tc>
          <w:tcPr>
            <w:tcW w:w="675" w:type="dxa"/>
          </w:tcPr>
          <w:p>
            <w:pPr>
              <w:pStyle w:val="TableParagraph"/>
              <w:spacing w:line="186" w:lineRule="exact"/>
              <w:ind w:left="88" w:right="112"/>
              <w:rPr>
                <w:sz w:val="18"/>
              </w:rPr>
            </w:pPr>
            <w:r>
              <w:rPr>
                <w:spacing w:val="-5"/>
                <w:sz w:val="18"/>
              </w:rPr>
              <w:t>56</w:t>
            </w:r>
          </w:p>
        </w:tc>
        <w:tc>
          <w:tcPr>
            <w:tcW w:w="691" w:type="dxa"/>
          </w:tcPr>
          <w:p>
            <w:pPr>
              <w:pStyle w:val="TableParagraph"/>
              <w:spacing w:line="186" w:lineRule="exact"/>
              <w:ind w:left="47"/>
              <w:rPr>
                <w:sz w:val="18"/>
              </w:rPr>
            </w:pPr>
            <w:r>
              <w:rPr>
                <w:spacing w:val="-5"/>
                <w:sz w:val="18"/>
              </w:rPr>
              <w:t>59</w:t>
            </w:r>
          </w:p>
        </w:tc>
        <w:tc>
          <w:tcPr>
            <w:tcW w:w="1220" w:type="dxa"/>
          </w:tcPr>
          <w:p>
            <w:pPr>
              <w:pStyle w:val="TableParagraph"/>
              <w:spacing w:line="186" w:lineRule="exact"/>
              <w:ind w:left="73" w:right="5"/>
              <w:rPr>
                <w:sz w:val="18"/>
              </w:rPr>
            </w:pPr>
            <w:r>
              <w:rPr>
                <w:sz w:val="18"/>
              </w:rPr>
              <w:t>115</w:t>
            </w:r>
            <w:r>
              <w:rPr>
                <w:spacing w:val="1"/>
                <w:sz w:val="18"/>
              </w:rPr>
              <w:t> </w:t>
            </w:r>
            <w:r>
              <w:rPr>
                <w:spacing w:val="-2"/>
                <w:sz w:val="18"/>
              </w:rPr>
              <w:t>(32.4%)</w:t>
            </w:r>
          </w:p>
        </w:tc>
        <w:tc>
          <w:tcPr>
            <w:tcW w:w="805" w:type="dxa"/>
          </w:tcPr>
          <w:p>
            <w:pPr>
              <w:pStyle w:val="TableParagraph"/>
              <w:jc w:val="left"/>
              <w:rPr>
                <w:sz w:val="14"/>
              </w:rPr>
            </w:pPr>
          </w:p>
        </w:tc>
      </w:tr>
      <w:tr>
        <w:trPr>
          <w:trHeight w:val="310" w:hRule="atLeast"/>
        </w:trPr>
        <w:tc>
          <w:tcPr>
            <w:tcW w:w="1327" w:type="dxa"/>
          </w:tcPr>
          <w:p>
            <w:pPr>
              <w:pStyle w:val="TableParagraph"/>
              <w:spacing w:line="203" w:lineRule="exact"/>
              <w:ind w:left="122"/>
              <w:jc w:val="left"/>
              <w:rPr>
                <w:sz w:val="18"/>
              </w:rPr>
            </w:pPr>
            <w:r>
              <w:rPr>
                <w:spacing w:val="-2"/>
                <w:sz w:val="18"/>
              </w:rPr>
              <w:t>burns</w:t>
            </w:r>
          </w:p>
        </w:tc>
        <w:tc>
          <w:tcPr>
            <w:tcW w:w="675" w:type="dxa"/>
          </w:tcPr>
          <w:p>
            <w:pPr>
              <w:pStyle w:val="TableParagraph"/>
              <w:jc w:val="left"/>
              <w:rPr>
                <w:sz w:val="20"/>
              </w:rPr>
            </w:pPr>
          </w:p>
        </w:tc>
        <w:tc>
          <w:tcPr>
            <w:tcW w:w="691" w:type="dxa"/>
          </w:tcPr>
          <w:p>
            <w:pPr>
              <w:pStyle w:val="TableParagraph"/>
              <w:jc w:val="left"/>
              <w:rPr>
                <w:sz w:val="20"/>
              </w:rPr>
            </w:pPr>
          </w:p>
        </w:tc>
        <w:tc>
          <w:tcPr>
            <w:tcW w:w="1220" w:type="dxa"/>
          </w:tcPr>
          <w:p>
            <w:pPr>
              <w:pStyle w:val="TableParagraph"/>
              <w:jc w:val="left"/>
              <w:rPr>
                <w:sz w:val="20"/>
              </w:rPr>
            </w:pPr>
          </w:p>
        </w:tc>
        <w:tc>
          <w:tcPr>
            <w:tcW w:w="805" w:type="dxa"/>
          </w:tcPr>
          <w:p>
            <w:pPr>
              <w:pStyle w:val="TableParagraph"/>
              <w:jc w:val="left"/>
              <w:rPr>
                <w:sz w:val="20"/>
              </w:rPr>
            </w:pPr>
          </w:p>
        </w:tc>
      </w:tr>
      <w:tr>
        <w:trPr>
          <w:trHeight w:val="517" w:hRule="atLeast"/>
        </w:trPr>
        <w:tc>
          <w:tcPr>
            <w:tcW w:w="1327" w:type="dxa"/>
          </w:tcPr>
          <w:p>
            <w:pPr>
              <w:pStyle w:val="TableParagraph"/>
              <w:spacing w:line="206" w:lineRule="exact" w:before="85"/>
              <w:ind w:left="122"/>
              <w:jc w:val="left"/>
              <w:rPr>
                <w:sz w:val="18"/>
              </w:rPr>
            </w:pPr>
            <w:r>
              <w:rPr>
                <w:sz w:val="18"/>
              </w:rPr>
              <w:t>Darker</w:t>
            </w:r>
            <w:r>
              <w:rPr>
                <w:spacing w:val="-12"/>
                <w:sz w:val="18"/>
              </w:rPr>
              <w:t> </w:t>
            </w:r>
            <w:r>
              <w:rPr>
                <w:sz w:val="18"/>
              </w:rPr>
              <w:t>skin, rarely</w:t>
            </w:r>
            <w:r>
              <w:rPr>
                <w:spacing w:val="-4"/>
                <w:sz w:val="18"/>
              </w:rPr>
              <w:t> </w:t>
            </w:r>
            <w:r>
              <w:rPr>
                <w:spacing w:val="-2"/>
                <w:sz w:val="18"/>
              </w:rPr>
              <w:t>burns,</w:t>
            </w:r>
          </w:p>
        </w:tc>
        <w:tc>
          <w:tcPr>
            <w:tcW w:w="675" w:type="dxa"/>
          </w:tcPr>
          <w:p>
            <w:pPr>
              <w:pStyle w:val="TableParagraph"/>
              <w:spacing w:before="99"/>
              <w:jc w:val="left"/>
              <w:rPr>
                <w:b/>
                <w:sz w:val="18"/>
              </w:rPr>
            </w:pPr>
          </w:p>
          <w:p>
            <w:pPr>
              <w:pStyle w:val="TableParagraph"/>
              <w:spacing w:line="191" w:lineRule="exact" w:before="1"/>
              <w:ind w:right="112"/>
              <w:rPr>
                <w:sz w:val="18"/>
              </w:rPr>
            </w:pPr>
            <w:r>
              <w:rPr>
                <w:spacing w:val="-5"/>
                <w:sz w:val="18"/>
              </w:rPr>
              <w:t>72</w:t>
            </w:r>
          </w:p>
        </w:tc>
        <w:tc>
          <w:tcPr>
            <w:tcW w:w="691" w:type="dxa"/>
          </w:tcPr>
          <w:p>
            <w:pPr>
              <w:pStyle w:val="TableParagraph"/>
              <w:spacing w:before="99"/>
              <w:jc w:val="left"/>
              <w:rPr>
                <w:b/>
                <w:sz w:val="18"/>
              </w:rPr>
            </w:pPr>
          </w:p>
          <w:p>
            <w:pPr>
              <w:pStyle w:val="TableParagraph"/>
              <w:spacing w:line="191" w:lineRule="exact" w:before="1"/>
              <w:ind w:left="47"/>
              <w:rPr>
                <w:sz w:val="18"/>
              </w:rPr>
            </w:pPr>
            <w:r>
              <w:rPr>
                <w:spacing w:val="-5"/>
                <w:sz w:val="18"/>
              </w:rPr>
              <w:t>65</w:t>
            </w:r>
          </w:p>
        </w:tc>
        <w:tc>
          <w:tcPr>
            <w:tcW w:w="1220" w:type="dxa"/>
          </w:tcPr>
          <w:p>
            <w:pPr>
              <w:pStyle w:val="TableParagraph"/>
              <w:spacing w:before="99"/>
              <w:jc w:val="left"/>
              <w:rPr>
                <w:b/>
                <w:sz w:val="18"/>
              </w:rPr>
            </w:pPr>
          </w:p>
          <w:p>
            <w:pPr>
              <w:pStyle w:val="TableParagraph"/>
              <w:spacing w:line="191" w:lineRule="exact" w:before="1"/>
              <w:ind w:left="73" w:right="5"/>
              <w:rPr>
                <w:sz w:val="18"/>
              </w:rPr>
            </w:pPr>
            <w:r>
              <w:rPr>
                <w:sz w:val="18"/>
              </w:rPr>
              <w:t>137</w:t>
            </w:r>
            <w:r>
              <w:rPr>
                <w:spacing w:val="1"/>
                <w:sz w:val="18"/>
              </w:rPr>
              <w:t> </w:t>
            </w:r>
            <w:r>
              <w:rPr>
                <w:spacing w:val="-2"/>
                <w:sz w:val="18"/>
              </w:rPr>
              <w:t>(38.6%)</w:t>
            </w:r>
          </w:p>
        </w:tc>
        <w:tc>
          <w:tcPr>
            <w:tcW w:w="805" w:type="dxa"/>
          </w:tcPr>
          <w:p>
            <w:pPr>
              <w:pStyle w:val="TableParagraph"/>
              <w:spacing w:before="203"/>
              <w:ind w:right="12"/>
              <w:rPr>
                <w:sz w:val="18"/>
              </w:rPr>
            </w:pPr>
            <w:r>
              <w:rPr>
                <w:spacing w:val="-2"/>
                <w:sz w:val="18"/>
              </w:rPr>
              <w:t>0.810</w:t>
            </w:r>
          </w:p>
        </w:tc>
      </w:tr>
      <w:tr>
        <w:trPr>
          <w:trHeight w:val="310" w:hRule="atLeast"/>
        </w:trPr>
        <w:tc>
          <w:tcPr>
            <w:tcW w:w="1327" w:type="dxa"/>
          </w:tcPr>
          <w:p>
            <w:pPr>
              <w:pStyle w:val="TableParagraph"/>
              <w:spacing w:line="203" w:lineRule="exact"/>
              <w:ind w:left="122"/>
              <w:jc w:val="left"/>
              <w:rPr>
                <w:sz w:val="18"/>
              </w:rPr>
            </w:pPr>
            <w:r>
              <w:rPr>
                <w:sz w:val="18"/>
              </w:rPr>
              <w:t>tans</w:t>
            </w:r>
            <w:r>
              <w:rPr>
                <w:spacing w:val="-2"/>
                <w:sz w:val="18"/>
              </w:rPr>
              <w:t> darkly</w:t>
            </w:r>
          </w:p>
        </w:tc>
        <w:tc>
          <w:tcPr>
            <w:tcW w:w="675" w:type="dxa"/>
          </w:tcPr>
          <w:p>
            <w:pPr>
              <w:pStyle w:val="TableParagraph"/>
              <w:jc w:val="left"/>
              <w:rPr>
                <w:sz w:val="20"/>
              </w:rPr>
            </w:pPr>
          </w:p>
        </w:tc>
        <w:tc>
          <w:tcPr>
            <w:tcW w:w="691" w:type="dxa"/>
          </w:tcPr>
          <w:p>
            <w:pPr>
              <w:pStyle w:val="TableParagraph"/>
              <w:jc w:val="left"/>
              <w:rPr>
                <w:sz w:val="20"/>
              </w:rPr>
            </w:pPr>
          </w:p>
        </w:tc>
        <w:tc>
          <w:tcPr>
            <w:tcW w:w="1220" w:type="dxa"/>
          </w:tcPr>
          <w:p>
            <w:pPr>
              <w:pStyle w:val="TableParagraph"/>
              <w:jc w:val="left"/>
              <w:rPr>
                <w:sz w:val="20"/>
              </w:rPr>
            </w:pPr>
          </w:p>
        </w:tc>
        <w:tc>
          <w:tcPr>
            <w:tcW w:w="805" w:type="dxa"/>
          </w:tcPr>
          <w:p>
            <w:pPr>
              <w:pStyle w:val="TableParagraph"/>
              <w:jc w:val="left"/>
              <w:rPr>
                <w:sz w:val="20"/>
              </w:rPr>
            </w:pPr>
          </w:p>
        </w:tc>
      </w:tr>
      <w:tr>
        <w:trPr>
          <w:trHeight w:val="310" w:hRule="atLeast"/>
        </w:trPr>
        <w:tc>
          <w:tcPr>
            <w:tcW w:w="1327" w:type="dxa"/>
          </w:tcPr>
          <w:p>
            <w:pPr>
              <w:pStyle w:val="TableParagraph"/>
              <w:spacing w:line="191" w:lineRule="exact" w:before="100"/>
              <w:ind w:left="122"/>
              <w:jc w:val="left"/>
              <w:rPr>
                <w:sz w:val="18"/>
              </w:rPr>
            </w:pPr>
            <w:r>
              <w:rPr>
                <w:sz w:val="18"/>
              </w:rPr>
              <w:t>Dark</w:t>
            </w:r>
            <w:r>
              <w:rPr>
                <w:spacing w:val="-5"/>
                <w:sz w:val="18"/>
              </w:rPr>
              <w:t> </w:t>
            </w:r>
            <w:r>
              <w:rPr>
                <w:spacing w:val="-2"/>
                <w:sz w:val="18"/>
              </w:rPr>
              <w:t>skin,</w:t>
            </w:r>
          </w:p>
        </w:tc>
        <w:tc>
          <w:tcPr>
            <w:tcW w:w="675" w:type="dxa"/>
          </w:tcPr>
          <w:p>
            <w:pPr>
              <w:pStyle w:val="TableParagraph"/>
              <w:jc w:val="left"/>
              <w:rPr>
                <w:sz w:val="20"/>
              </w:rPr>
            </w:pPr>
          </w:p>
        </w:tc>
        <w:tc>
          <w:tcPr>
            <w:tcW w:w="691" w:type="dxa"/>
          </w:tcPr>
          <w:p>
            <w:pPr>
              <w:pStyle w:val="TableParagraph"/>
              <w:jc w:val="left"/>
              <w:rPr>
                <w:sz w:val="20"/>
              </w:rPr>
            </w:pPr>
          </w:p>
        </w:tc>
        <w:tc>
          <w:tcPr>
            <w:tcW w:w="1220" w:type="dxa"/>
          </w:tcPr>
          <w:p>
            <w:pPr>
              <w:pStyle w:val="TableParagraph"/>
              <w:jc w:val="left"/>
              <w:rPr>
                <w:sz w:val="20"/>
              </w:rPr>
            </w:pPr>
          </w:p>
        </w:tc>
        <w:tc>
          <w:tcPr>
            <w:tcW w:w="805" w:type="dxa"/>
          </w:tcPr>
          <w:p>
            <w:pPr>
              <w:pStyle w:val="TableParagraph"/>
              <w:jc w:val="left"/>
              <w:rPr>
                <w:sz w:val="20"/>
              </w:rPr>
            </w:pPr>
          </w:p>
        </w:tc>
      </w:tr>
      <w:tr>
        <w:trPr>
          <w:trHeight w:val="206" w:hRule="atLeast"/>
        </w:trPr>
        <w:tc>
          <w:tcPr>
            <w:tcW w:w="1327" w:type="dxa"/>
          </w:tcPr>
          <w:p>
            <w:pPr>
              <w:pStyle w:val="TableParagraph"/>
              <w:spacing w:line="187" w:lineRule="exact"/>
              <w:ind w:left="122"/>
              <w:jc w:val="left"/>
              <w:rPr>
                <w:sz w:val="18"/>
              </w:rPr>
            </w:pPr>
            <w:r>
              <w:rPr>
                <w:sz w:val="18"/>
              </w:rPr>
              <w:t>never</w:t>
            </w:r>
            <w:r>
              <w:rPr>
                <w:spacing w:val="-3"/>
                <w:sz w:val="18"/>
              </w:rPr>
              <w:t> </w:t>
            </w:r>
            <w:r>
              <w:rPr>
                <w:spacing w:val="-2"/>
                <w:sz w:val="18"/>
              </w:rPr>
              <w:t>burns,</w:t>
            </w:r>
          </w:p>
        </w:tc>
        <w:tc>
          <w:tcPr>
            <w:tcW w:w="675" w:type="dxa"/>
          </w:tcPr>
          <w:p>
            <w:pPr>
              <w:pStyle w:val="TableParagraph"/>
              <w:spacing w:line="187" w:lineRule="exact"/>
              <w:ind w:right="112"/>
              <w:rPr>
                <w:sz w:val="18"/>
              </w:rPr>
            </w:pPr>
            <w:r>
              <w:rPr>
                <w:spacing w:val="-5"/>
                <w:sz w:val="18"/>
              </w:rPr>
              <w:t>51</w:t>
            </w:r>
          </w:p>
        </w:tc>
        <w:tc>
          <w:tcPr>
            <w:tcW w:w="691" w:type="dxa"/>
          </w:tcPr>
          <w:p>
            <w:pPr>
              <w:pStyle w:val="TableParagraph"/>
              <w:spacing w:line="187" w:lineRule="exact"/>
              <w:ind w:left="47"/>
              <w:rPr>
                <w:sz w:val="18"/>
              </w:rPr>
            </w:pPr>
            <w:r>
              <w:rPr>
                <w:spacing w:val="-5"/>
                <w:sz w:val="18"/>
              </w:rPr>
              <w:t>52</w:t>
            </w:r>
          </w:p>
        </w:tc>
        <w:tc>
          <w:tcPr>
            <w:tcW w:w="1220" w:type="dxa"/>
          </w:tcPr>
          <w:p>
            <w:pPr>
              <w:pStyle w:val="TableParagraph"/>
              <w:spacing w:line="187" w:lineRule="exact"/>
              <w:ind w:left="73" w:right="5"/>
              <w:rPr>
                <w:sz w:val="18"/>
              </w:rPr>
            </w:pPr>
            <w:r>
              <w:rPr>
                <w:sz w:val="18"/>
              </w:rPr>
              <w:t>103</w:t>
            </w:r>
            <w:r>
              <w:rPr>
                <w:spacing w:val="1"/>
                <w:sz w:val="18"/>
              </w:rPr>
              <w:t> </w:t>
            </w:r>
            <w:r>
              <w:rPr>
                <w:spacing w:val="-2"/>
                <w:sz w:val="18"/>
              </w:rPr>
              <w:t>(29.0%)</w:t>
            </w:r>
          </w:p>
        </w:tc>
        <w:tc>
          <w:tcPr>
            <w:tcW w:w="805" w:type="dxa"/>
          </w:tcPr>
          <w:p>
            <w:pPr>
              <w:pStyle w:val="TableParagraph"/>
              <w:jc w:val="left"/>
              <w:rPr>
                <w:sz w:val="14"/>
              </w:rPr>
            </w:pPr>
          </w:p>
        </w:tc>
      </w:tr>
      <w:tr>
        <w:trPr>
          <w:trHeight w:val="208" w:hRule="atLeast"/>
        </w:trPr>
        <w:tc>
          <w:tcPr>
            <w:tcW w:w="1327" w:type="dxa"/>
            <w:tcBorders>
              <w:bottom w:val="single" w:sz="12" w:space="0" w:color="000000"/>
            </w:tcBorders>
          </w:tcPr>
          <w:p>
            <w:pPr>
              <w:pStyle w:val="TableParagraph"/>
              <w:spacing w:line="189" w:lineRule="exact"/>
              <w:ind w:left="122"/>
              <w:jc w:val="left"/>
              <w:rPr>
                <w:sz w:val="18"/>
              </w:rPr>
            </w:pPr>
            <w:r>
              <w:rPr>
                <w:sz w:val="18"/>
              </w:rPr>
              <w:t>dark</w:t>
            </w:r>
            <w:r>
              <w:rPr>
                <w:spacing w:val="-5"/>
                <w:sz w:val="18"/>
              </w:rPr>
              <w:t> </w:t>
            </w:r>
            <w:r>
              <w:rPr>
                <w:sz w:val="18"/>
              </w:rPr>
              <w:t>even</w:t>
            </w:r>
            <w:r>
              <w:rPr>
                <w:spacing w:val="-1"/>
                <w:sz w:val="18"/>
              </w:rPr>
              <w:t> </w:t>
            </w:r>
            <w:r>
              <w:rPr>
                <w:spacing w:val="-4"/>
                <w:sz w:val="18"/>
              </w:rPr>
              <w:t>tans</w:t>
            </w:r>
          </w:p>
        </w:tc>
        <w:tc>
          <w:tcPr>
            <w:tcW w:w="675" w:type="dxa"/>
            <w:tcBorders>
              <w:bottom w:val="single" w:sz="12" w:space="0" w:color="000000"/>
            </w:tcBorders>
          </w:tcPr>
          <w:p>
            <w:pPr>
              <w:pStyle w:val="TableParagraph"/>
              <w:jc w:val="left"/>
              <w:rPr>
                <w:sz w:val="14"/>
              </w:rPr>
            </w:pPr>
          </w:p>
        </w:tc>
        <w:tc>
          <w:tcPr>
            <w:tcW w:w="691" w:type="dxa"/>
            <w:tcBorders>
              <w:bottom w:val="single" w:sz="12" w:space="0" w:color="000000"/>
            </w:tcBorders>
          </w:tcPr>
          <w:p>
            <w:pPr>
              <w:pStyle w:val="TableParagraph"/>
              <w:jc w:val="left"/>
              <w:rPr>
                <w:sz w:val="14"/>
              </w:rPr>
            </w:pPr>
          </w:p>
        </w:tc>
        <w:tc>
          <w:tcPr>
            <w:tcW w:w="1220" w:type="dxa"/>
            <w:tcBorders>
              <w:bottom w:val="single" w:sz="12" w:space="0" w:color="000000"/>
            </w:tcBorders>
          </w:tcPr>
          <w:p>
            <w:pPr>
              <w:pStyle w:val="TableParagraph"/>
              <w:jc w:val="left"/>
              <w:rPr>
                <w:sz w:val="14"/>
              </w:rPr>
            </w:pPr>
          </w:p>
        </w:tc>
        <w:tc>
          <w:tcPr>
            <w:tcW w:w="805" w:type="dxa"/>
            <w:tcBorders>
              <w:bottom w:val="single" w:sz="12" w:space="0" w:color="000000"/>
            </w:tcBorders>
          </w:tcPr>
          <w:p>
            <w:pPr>
              <w:pStyle w:val="TableParagraph"/>
              <w:jc w:val="left"/>
              <w:rPr>
                <w:sz w:val="14"/>
              </w:rPr>
            </w:pPr>
          </w:p>
        </w:tc>
      </w:tr>
    </w:tbl>
    <w:p>
      <w:pPr>
        <w:spacing w:line="251" w:lineRule="exact" w:before="242"/>
        <w:ind w:left="239" w:right="0" w:firstLine="0"/>
        <w:jc w:val="left"/>
        <w:rPr>
          <w:b/>
          <w:sz w:val="22"/>
        </w:rPr>
      </w:pPr>
      <w:r>
        <w:rPr>
          <w:b/>
          <w:sz w:val="22"/>
        </w:rPr>
        <w:t>Location</w:t>
      </w:r>
      <w:r>
        <w:rPr>
          <w:b/>
          <w:spacing w:val="-4"/>
          <w:sz w:val="22"/>
        </w:rPr>
        <w:t> </w:t>
      </w:r>
      <w:r>
        <w:rPr>
          <w:b/>
          <w:sz w:val="22"/>
        </w:rPr>
        <w:t>and</w:t>
      </w:r>
      <w:r>
        <w:rPr>
          <w:b/>
          <w:spacing w:val="-4"/>
          <w:sz w:val="22"/>
        </w:rPr>
        <w:t> </w:t>
      </w:r>
      <w:r>
        <w:rPr>
          <w:b/>
          <w:spacing w:val="-2"/>
          <w:sz w:val="22"/>
        </w:rPr>
        <w:t>Knowledge</w:t>
      </w:r>
    </w:p>
    <w:p>
      <w:pPr>
        <w:pStyle w:val="BodyText"/>
        <w:ind w:left="239" w:right="592"/>
        <w:rPr>
          <w:i/>
        </w:rPr>
      </w:pPr>
      <w:r>
        <w:rPr/>
        <w:t>There was a difference between locations on skin cancer knowledge. T-test on the composite knowledge variable showed that there was a statistically significant difference, assuming equal variance, between these two groups on knowledge on skin cancer (</w:t>
      </w:r>
      <w:r>
        <w:rPr>
          <w:i/>
        </w:rPr>
        <w:t>p </w:t>
      </w:r>
      <w:r>
        <w:rPr/>
        <w:t>&lt; 0.001). African American students in southern California had significantly more procedural knowledge, such as risk factors of skin cancer and knowledge on protective behaviors, as compared to African American students in Maryland (Table 2). For example, students in California were more knowledgeable on risk factors for skin cancer, such as sunbathing without sunscreen (</w:t>
      </w:r>
      <w:r>
        <w:rPr>
          <w:i/>
        </w:rPr>
        <w:t>p </w:t>
      </w:r>
      <w:r>
        <w:rPr/>
        <w:t>&lt; 0.001), fair skin with freckles (</w:t>
      </w:r>
      <w:r>
        <w:rPr>
          <w:i/>
        </w:rPr>
        <w:t>p </w:t>
      </w:r>
      <w:r>
        <w:rPr/>
        <w:t>&lt; 0.001), and getting sunburned as an adult (</w:t>
      </w:r>
      <w:r>
        <w:rPr>
          <w:i/>
        </w:rPr>
        <w:t>p </w:t>
      </w:r>
      <w:r>
        <w:rPr/>
        <w:t>&lt; 0.001); and they were more knowledgeable about protective behaviors that would reduce the risk of skin cancer,</w:t>
      </w:r>
      <w:r>
        <w:rPr>
          <w:spacing w:val="-4"/>
        </w:rPr>
        <w:t> </w:t>
      </w:r>
      <w:r>
        <w:rPr/>
        <w:t>such</w:t>
      </w:r>
      <w:r>
        <w:rPr>
          <w:spacing w:val="-4"/>
        </w:rPr>
        <w:t> </w:t>
      </w:r>
      <w:r>
        <w:rPr/>
        <w:t>as</w:t>
      </w:r>
      <w:r>
        <w:rPr>
          <w:spacing w:val="-4"/>
        </w:rPr>
        <w:t> </w:t>
      </w:r>
      <w:r>
        <w:rPr/>
        <w:t>using</w:t>
      </w:r>
      <w:r>
        <w:rPr>
          <w:spacing w:val="-7"/>
        </w:rPr>
        <w:t> </w:t>
      </w:r>
      <w:r>
        <w:rPr/>
        <w:t>sunscreen</w:t>
      </w:r>
      <w:r>
        <w:rPr>
          <w:spacing w:val="-4"/>
        </w:rPr>
        <w:t> </w:t>
      </w:r>
      <w:r>
        <w:rPr/>
        <w:t>with</w:t>
      </w:r>
      <w:r>
        <w:rPr>
          <w:spacing w:val="-4"/>
        </w:rPr>
        <w:t> </w:t>
      </w:r>
      <w:r>
        <w:rPr/>
        <w:t>SPF</w:t>
      </w:r>
      <w:r>
        <w:rPr>
          <w:spacing w:val="-7"/>
        </w:rPr>
        <w:t> </w:t>
      </w:r>
      <w:r>
        <w:rPr/>
        <w:t>15+</w:t>
      </w:r>
      <w:r>
        <w:rPr>
          <w:spacing w:val="-6"/>
        </w:rPr>
        <w:t> </w:t>
      </w:r>
      <w:r>
        <w:rPr/>
        <w:t>(</w:t>
      </w:r>
      <w:r>
        <w:rPr>
          <w:i/>
        </w:rPr>
        <w:t>p</w:t>
      </w:r>
    </w:p>
    <w:p>
      <w:pPr>
        <w:pStyle w:val="BodyText"/>
        <w:ind w:left="239" w:right="260"/>
      </w:pPr>
      <w:r>
        <w:rPr/>
        <w:t>&lt; 0.001), staying in the shade (</w:t>
      </w:r>
      <w:r>
        <w:rPr>
          <w:i/>
        </w:rPr>
        <w:t>p </w:t>
      </w:r>
      <w:r>
        <w:rPr/>
        <w:t>&lt; 0.001), and avoiding</w:t>
      </w:r>
      <w:r>
        <w:rPr>
          <w:spacing w:val="-8"/>
        </w:rPr>
        <w:t> </w:t>
      </w:r>
      <w:r>
        <w:rPr/>
        <w:t>sun’s</w:t>
      </w:r>
      <w:r>
        <w:rPr>
          <w:spacing w:val="-5"/>
        </w:rPr>
        <w:t> </w:t>
      </w:r>
      <w:r>
        <w:rPr/>
        <w:t>strongest</w:t>
      </w:r>
      <w:r>
        <w:rPr>
          <w:spacing w:val="-4"/>
        </w:rPr>
        <w:t> </w:t>
      </w:r>
      <w:r>
        <w:rPr/>
        <w:t>reflection</w:t>
      </w:r>
      <w:r>
        <w:rPr>
          <w:spacing w:val="-5"/>
        </w:rPr>
        <w:t> </w:t>
      </w:r>
      <w:r>
        <w:rPr/>
        <w:t>from</w:t>
      </w:r>
      <w:r>
        <w:rPr>
          <w:spacing w:val="-9"/>
        </w:rPr>
        <w:t> </w:t>
      </w:r>
      <w:r>
        <w:rPr/>
        <w:t>10am</w:t>
      </w:r>
      <w:r>
        <w:rPr>
          <w:spacing w:val="-9"/>
        </w:rPr>
        <w:t> </w:t>
      </w:r>
      <w:r>
        <w:rPr/>
        <w:t>to 3pm (</w:t>
      </w:r>
      <w:r>
        <w:rPr>
          <w:i/>
        </w:rPr>
        <w:t>p </w:t>
      </w:r>
      <w:r>
        <w:rPr/>
        <w:t>&lt; 0.001).</w:t>
      </w:r>
    </w:p>
    <w:p>
      <w:pPr>
        <w:spacing w:after="0"/>
        <w:sectPr>
          <w:pgSz w:w="12240" w:h="15840"/>
          <w:pgMar w:header="699" w:footer="1070" w:top="1340" w:bottom="1260" w:left="1200" w:right="880"/>
          <w:cols w:num="2" w:equalWidth="0">
            <w:col w:w="4604" w:space="436"/>
            <w:col w:w="5120"/>
          </w:cols>
        </w:sectPr>
      </w:pPr>
    </w:p>
    <w:p>
      <w:pPr>
        <w:pStyle w:val="Heading2"/>
        <w:spacing w:before="89"/>
        <w:ind w:left="67" w:right="384"/>
        <w:jc w:val="center"/>
      </w:pPr>
      <w:r>
        <w:rPr/>
        <w:t>Table</w:t>
      </w:r>
      <w:r>
        <w:rPr>
          <w:spacing w:val="-1"/>
        </w:rPr>
        <w:t> </w:t>
      </w:r>
      <w:r>
        <w:rPr>
          <w:spacing w:val="-10"/>
        </w:rPr>
        <w:t>2</w:t>
      </w:r>
    </w:p>
    <w:p>
      <w:pPr>
        <w:pStyle w:val="BodyText"/>
        <w:rPr>
          <w:b/>
        </w:rPr>
      </w:pPr>
    </w:p>
    <w:p>
      <w:pPr>
        <w:spacing w:before="0"/>
        <w:ind w:left="67" w:right="384" w:firstLine="0"/>
        <w:jc w:val="center"/>
        <w:rPr>
          <w:b/>
          <w:sz w:val="22"/>
        </w:rPr>
      </w:pPr>
      <w:r>
        <w:rPr>
          <w:b/>
          <w:sz w:val="22"/>
        </w:rPr>
        <w:t>Knowledge</w:t>
      </w:r>
      <w:r>
        <w:rPr>
          <w:b/>
          <w:spacing w:val="-7"/>
          <w:sz w:val="22"/>
        </w:rPr>
        <w:t> </w:t>
      </w:r>
      <w:r>
        <w:rPr>
          <w:b/>
          <w:sz w:val="22"/>
        </w:rPr>
        <w:t>about</w:t>
      </w:r>
      <w:r>
        <w:rPr>
          <w:b/>
          <w:spacing w:val="-3"/>
          <w:sz w:val="22"/>
        </w:rPr>
        <w:t> </w:t>
      </w:r>
      <w:r>
        <w:rPr>
          <w:b/>
          <w:sz w:val="22"/>
        </w:rPr>
        <w:t>Skin</w:t>
      </w:r>
      <w:r>
        <w:rPr>
          <w:b/>
          <w:spacing w:val="-6"/>
          <w:sz w:val="22"/>
        </w:rPr>
        <w:t> </w:t>
      </w:r>
      <w:r>
        <w:rPr>
          <w:b/>
          <w:sz w:val="22"/>
        </w:rPr>
        <w:t>Cancer</w:t>
      </w:r>
      <w:r>
        <w:rPr>
          <w:b/>
          <w:spacing w:val="-4"/>
          <w:sz w:val="22"/>
        </w:rPr>
        <w:t> </w:t>
      </w:r>
      <w:r>
        <w:rPr>
          <w:b/>
          <w:sz w:val="22"/>
        </w:rPr>
        <w:t>Risk</w:t>
      </w:r>
      <w:r>
        <w:rPr>
          <w:b/>
          <w:spacing w:val="-7"/>
          <w:sz w:val="22"/>
        </w:rPr>
        <w:t> </w:t>
      </w:r>
      <w:r>
        <w:rPr>
          <w:b/>
          <w:sz w:val="22"/>
        </w:rPr>
        <w:t>Factors,</w:t>
      </w:r>
      <w:r>
        <w:rPr>
          <w:b/>
          <w:spacing w:val="-5"/>
          <w:sz w:val="22"/>
        </w:rPr>
        <w:t> </w:t>
      </w:r>
      <w:r>
        <w:rPr>
          <w:b/>
          <w:sz w:val="22"/>
        </w:rPr>
        <w:t>by</w:t>
      </w:r>
      <w:r>
        <w:rPr>
          <w:b/>
          <w:spacing w:val="-4"/>
          <w:sz w:val="22"/>
        </w:rPr>
        <w:t> </w:t>
      </w:r>
      <w:r>
        <w:rPr>
          <w:b/>
          <w:sz w:val="22"/>
        </w:rPr>
        <w:t>Geographic</w:t>
      </w:r>
      <w:r>
        <w:rPr>
          <w:b/>
          <w:spacing w:val="-4"/>
          <w:sz w:val="22"/>
        </w:rPr>
        <w:t> </w:t>
      </w:r>
      <w:r>
        <w:rPr>
          <w:b/>
          <w:spacing w:val="-2"/>
          <w:sz w:val="22"/>
        </w:rPr>
        <w:t>Region</w:t>
      </w:r>
    </w:p>
    <w:p>
      <w:pPr>
        <w:pStyle w:val="BodyText"/>
        <w:spacing w:before="1"/>
        <w:rPr>
          <w:b/>
          <w:sz w:val="20"/>
        </w:rPr>
      </w:pPr>
      <w:r>
        <w:rPr/>
        <mc:AlternateContent>
          <mc:Choice Requires="wps">
            <w:drawing>
              <wp:anchor distT="0" distB="0" distL="0" distR="0" allowOverlap="1" layoutInCell="1" locked="0" behindDoc="1" simplePos="0" relativeHeight="487587840">
                <wp:simplePos x="0" y="0"/>
                <wp:positionH relativeFrom="page">
                  <wp:posOffset>845820</wp:posOffset>
                </wp:positionH>
                <wp:positionV relativeFrom="paragraph">
                  <wp:posOffset>162110</wp:posOffset>
                </wp:positionV>
                <wp:extent cx="6126480" cy="1841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6126480" cy="18415"/>
                        </a:xfrm>
                        <a:custGeom>
                          <a:avLst/>
                          <a:gdLst/>
                          <a:ahLst/>
                          <a:cxnLst/>
                          <a:rect l="l" t="t" r="r" b="b"/>
                          <a:pathLst>
                            <a:path w="6126480" h="18415">
                              <a:moveTo>
                                <a:pt x="6126480" y="0"/>
                              </a:moveTo>
                              <a:lnTo>
                                <a:pt x="6126480" y="0"/>
                              </a:lnTo>
                              <a:lnTo>
                                <a:pt x="0" y="0"/>
                              </a:lnTo>
                              <a:lnTo>
                                <a:pt x="0" y="18288"/>
                              </a:lnTo>
                              <a:lnTo>
                                <a:pt x="6126480" y="18288"/>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6.600006pt;margin-top:12.764602pt;width:482.400023pt;height:1.44pt;mso-position-horizontal-relative:page;mso-position-vertical-relative:paragraph;z-index:-15728640;mso-wrap-distance-left:0;mso-wrap-distance-right:0" id="docshape3" filled="true" fillcolor="#000000" stroked="false">
                <v:fill type="solid"/>
                <w10:wrap type="topAndBottom"/>
              </v:rect>
            </w:pict>
          </mc:Fallback>
        </mc:AlternateContent>
      </w:r>
    </w:p>
    <w:p>
      <w:pPr>
        <w:pStyle w:val="BodyText"/>
        <w:spacing w:before="2"/>
        <w:rPr>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22"/>
        <w:gridCol w:w="828"/>
        <w:gridCol w:w="1062"/>
        <w:gridCol w:w="1098"/>
        <w:gridCol w:w="1061"/>
        <w:gridCol w:w="1071"/>
        <w:gridCol w:w="1087"/>
        <w:gridCol w:w="1287"/>
        <w:gridCol w:w="1144"/>
      </w:tblGrid>
      <w:tr>
        <w:trPr>
          <w:trHeight w:val="839" w:hRule="atLeast"/>
        </w:trPr>
        <w:tc>
          <w:tcPr>
            <w:tcW w:w="1022" w:type="dxa"/>
          </w:tcPr>
          <w:p>
            <w:pPr>
              <w:pStyle w:val="TableParagraph"/>
              <w:jc w:val="left"/>
              <w:rPr>
                <w:sz w:val="20"/>
              </w:rPr>
            </w:pPr>
          </w:p>
        </w:tc>
        <w:tc>
          <w:tcPr>
            <w:tcW w:w="828" w:type="dxa"/>
            <w:tcBorders>
              <w:bottom w:val="single" w:sz="4" w:space="0" w:color="000000"/>
            </w:tcBorders>
          </w:tcPr>
          <w:p>
            <w:pPr>
              <w:pStyle w:val="TableParagraph"/>
              <w:jc w:val="left"/>
              <w:rPr>
                <w:sz w:val="20"/>
              </w:rPr>
            </w:pPr>
          </w:p>
        </w:tc>
        <w:tc>
          <w:tcPr>
            <w:tcW w:w="1062" w:type="dxa"/>
            <w:tcBorders>
              <w:bottom w:val="single" w:sz="4" w:space="0" w:color="000000"/>
            </w:tcBorders>
          </w:tcPr>
          <w:p>
            <w:pPr>
              <w:pStyle w:val="TableParagraph"/>
              <w:ind w:left="3" w:right="18"/>
              <w:rPr>
                <w:sz w:val="18"/>
              </w:rPr>
            </w:pPr>
            <w:r>
              <w:rPr>
                <w:spacing w:val="-2"/>
                <w:sz w:val="18"/>
              </w:rPr>
              <w:t>Sunbathing without sunscreen</w:t>
            </w:r>
          </w:p>
        </w:tc>
        <w:tc>
          <w:tcPr>
            <w:tcW w:w="1098" w:type="dxa"/>
            <w:tcBorders>
              <w:bottom w:val="single" w:sz="4" w:space="0" w:color="000000"/>
            </w:tcBorders>
          </w:tcPr>
          <w:p>
            <w:pPr>
              <w:pStyle w:val="TableParagraph"/>
              <w:ind w:left="63" w:right="78"/>
              <w:rPr>
                <w:sz w:val="18"/>
              </w:rPr>
            </w:pPr>
            <w:r>
              <w:rPr>
                <w:spacing w:val="-2"/>
                <w:sz w:val="18"/>
              </w:rPr>
              <w:t>Sunbathing </w:t>
            </w:r>
            <w:r>
              <w:rPr>
                <w:spacing w:val="-4"/>
                <w:sz w:val="18"/>
              </w:rPr>
              <w:t>with </w:t>
            </w:r>
            <w:r>
              <w:rPr>
                <w:spacing w:val="-2"/>
                <w:sz w:val="18"/>
              </w:rPr>
              <w:t>sunscreen</w:t>
            </w:r>
          </w:p>
        </w:tc>
        <w:tc>
          <w:tcPr>
            <w:tcW w:w="1061" w:type="dxa"/>
            <w:tcBorders>
              <w:bottom w:val="single" w:sz="4" w:space="0" w:color="000000"/>
            </w:tcBorders>
          </w:tcPr>
          <w:p>
            <w:pPr>
              <w:pStyle w:val="TableParagraph"/>
              <w:ind w:left="112" w:right="131"/>
              <w:rPr>
                <w:sz w:val="18"/>
              </w:rPr>
            </w:pPr>
            <w:r>
              <w:rPr>
                <w:sz w:val="18"/>
              </w:rPr>
              <w:t>Fair</w:t>
            </w:r>
            <w:r>
              <w:rPr>
                <w:spacing w:val="-12"/>
                <w:sz w:val="18"/>
              </w:rPr>
              <w:t> </w:t>
            </w:r>
            <w:r>
              <w:rPr>
                <w:sz w:val="18"/>
              </w:rPr>
              <w:t>skin </w:t>
            </w:r>
            <w:r>
              <w:rPr>
                <w:spacing w:val="-4"/>
                <w:sz w:val="18"/>
              </w:rPr>
              <w:t>with </w:t>
            </w:r>
            <w:r>
              <w:rPr>
                <w:spacing w:val="-2"/>
                <w:sz w:val="18"/>
              </w:rPr>
              <w:t>freckles</w:t>
            </w:r>
          </w:p>
        </w:tc>
        <w:tc>
          <w:tcPr>
            <w:tcW w:w="1071" w:type="dxa"/>
            <w:tcBorders>
              <w:bottom w:val="single" w:sz="4" w:space="0" w:color="000000"/>
            </w:tcBorders>
          </w:tcPr>
          <w:p>
            <w:pPr>
              <w:pStyle w:val="TableParagraph"/>
              <w:ind w:left="163" w:right="158" w:firstLine="7"/>
              <w:rPr>
                <w:sz w:val="18"/>
              </w:rPr>
            </w:pPr>
            <w:r>
              <w:rPr>
                <w:spacing w:val="-2"/>
                <w:sz w:val="18"/>
              </w:rPr>
              <w:t>Getting sunburned </w:t>
            </w:r>
            <w:r>
              <w:rPr>
                <w:sz w:val="18"/>
              </w:rPr>
              <w:t>as a child</w:t>
            </w:r>
          </w:p>
        </w:tc>
        <w:tc>
          <w:tcPr>
            <w:tcW w:w="1087" w:type="dxa"/>
            <w:tcBorders>
              <w:bottom w:val="single" w:sz="4" w:space="0" w:color="000000"/>
            </w:tcBorders>
          </w:tcPr>
          <w:p>
            <w:pPr>
              <w:pStyle w:val="TableParagraph"/>
              <w:ind w:left="162" w:right="146" w:firstLine="117"/>
              <w:jc w:val="left"/>
              <w:rPr>
                <w:sz w:val="18"/>
              </w:rPr>
            </w:pPr>
            <w:r>
              <w:rPr>
                <w:spacing w:val="-2"/>
                <w:sz w:val="18"/>
              </w:rPr>
              <w:t>Getting sunburned </w:t>
            </w:r>
            <w:r>
              <w:rPr>
                <w:sz w:val="18"/>
              </w:rPr>
              <w:t>as</w:t>
            </w:r>
            <w:r>
              <w:rPr>
                <w:spacing w:val="-1"/>
                <w:sz w:val="18"/>
              </w:rPr>
              <w:t> </w:t>
            </w:r>
            <w:r>
              <w:rPr>
                <w:sz w:val="18"/>
              </w:rPr>
              <w:t>an </w:t>
            </w:r>
            <w:r>
              <w:rPr>
                <w:spacing w:val="-2"/>
                <w:sz w:val="18"/>
              </w:rPr>
              <w:t>adult</w:t>
            </w:r>
          </w:p>
        </w:tc>
        <w:tc>
          <w:tcPr>
            <w:tcW w:w="1287" w:type="dxa"/>
            <w:tcBorders>
              <w:bottom w:val="single" w:sz="4" w:space="0" w:color="000000"/>
            </w:tcBorders>
          </w:tcPr>
          <w:p>
            <w:pPr>
              <w:pStyle w:val="TableParagraph"/>
              <w:ind w:left="155" w:right="177" w:hanging="1"/>
              <w:rPr>
                <w:sz w:val="18"/>
              </w:rPr>
            </w:pPr>
            <w:r>
              <w:rPr>
                <w:sz w:val="18"/>
              </w:rPr>
              <w:t>Having a large</w:t>
            </w:r>
            <w:r>
              <w:rPr>
                <w:spacing w:val="-12"/>
                <w:sz w:val="18"/>
              </w:rPr>
              <w:t> </w:t>
            </w:r>
            <w:r>
              <w:rPr>
                <w:sz w:val="18"/>
              </w:rPr>
              <w:t>number of moles</w:t>
            </w:r>
          </w:p>
        </w:tc>
        <w:tc>
          <w:tcPr>
            <w:tcW w:w="1144" w:type="dxa"/>
            <w:tcBorders>
              <w:bottom w:val="single" w:sz="4" w:space="0" w:color="000000"/>
            </w:tcBorders>
          </w:tcPr>
          <w:p>
            <w:pPr>
              <w:pStyle w:val="TableParagraph"/>
              <w:ind w:left="256" w:right="278" w:firstLine="88"/>
              <w:jc w:val="left"/>
              <w:rPr>
                <w:sz w:val="18"/>
              </w:rPr>
            </w:pPr>
            <w:r>
              <w:rPr>
                <w:spacing w:val="-2"/>
                <w:sz w:val="18"/>
              </w:rPr>
              <w:t>Using artificial sunlight</w:t>
            </w:r>
          </w:p>
        </w:tc>
      </w:tr>
      <w:tr>
        <w:trPr>
          <w:trHeight w:val="273" w:hRule="atLeast"/>
        </w:trPr>
        <w:tc>
          <w:tcPr>
            <w:tcW w:w="1022" w:type="dxa"/>
            <w:vMerge w:val="restart"/>
          </w:tcPr>
          <w:p>
            <w:pPr>
              <w:pStyle w:val="TableParagraph"/>
              <w:spacing w:line="207" w:lineRule="exact" w:before="163"/>
              <w:ind w:left="15"/>
              <w:rPr>
                <w:sz w:val="18"/>
              </w:rPr>
            </w:pPr>
            <w:r>
              <w:rPr>
                <w:spacing w:val="-2"/>
                <w:sz w:val="18"/>
              </w:rPr>
              <w:t>California</w:t>
            </w:r>
          </w:p>
          <w:p>
            <w:pPr>
              <w:pStyle w:val="TableParagraph"/>
              <w:spacing w:line="161" w:lineRule="exact"/>
              <w:ind w:left="15" w:right="4"/>
              <w:rPr>
                <w:sz w:val="18"/>
              </w:rPr>
            </w:pPr>
            <w:r>
              <w:rPr>
                <w:i/>
                <w:sz w:val="18"/>
              </w:rPr>
              <w:t>n</w:t>
            </w:r>
            <w:r>
              <w:rPr>
                <w:i/>
                <w:spacing w:val="1"/>
                <w:sz w:val="18"/>
              </w:rPr>
              <w:t> </w:t>
            </w:r>
            <w:r>
              <w:rPr>
                <w:spacing w:val="-5"/>
                <w:sz w:val="18"/>
              </w:rPr>
              <w:t>(%)</w:t>
            </w:r>
          </w:p>
        </w:tc>
        <w:tc>
          <w:tcPr>
            <w:tcW w:w="828" w:type="dxa"/>
            <w:tcBorders>
              <w:top w:val="single" w:sz="4" w:space="0" w:color="000000"/>
            </w:tcBorders>
          </w:tcPr>
          <w:p>
            <w:pPr>
              <w:pStyle w:val="TableParagraph"/>
              <w:spacing w:before="31"/>
              <w:ind w:right="17"/>
              <w:rPr>
                <w:sz w:val="18"/>
              </w:rPr>
            </w:pPr>
            <w:r>
              <w:rPr>
                <w:spacing w:val="-5"/>
                <w:sz w:val="18"/>
              </w:rPr>
              <w:t>NI</w:t>
            </w:r>
          </w:p>
        </w:tc>
        <w:tc>
          <w:tcPr>
            <w:tcW w:w="1062" w:type="dxa"/>
            <w:tcBorders>
              <w:top w:val="single" w:sz="4" w:space="0" w:color="000000"/>
            </w:tcBorders>
          </w:tcPr>
          <w:p>
            <w:pPr>
              <w:pStyle w:val="TableParagraph"/>
              <w:spacing w:before="31"/>
              <w:ind w:left="2" w:right="18"/>
              <w:rPr>
                <w:sz w:val="18"/>
              </w:rPr>
            </w:pPr>
            <w:r>
              <w:rPr>
                <w:sz w:val="18"/>
              </w:rPr>
              <w:t>27</w:t>
            </w:r>
            <w:r>
              <w:rPr>
                <w:spacing w:val="2"/>
                <w:sz w:val="18"/>
              </w:rPr>
              <w:t> </w:t>
            </w:r>
            <w:r>
              <w:rPr>
                <w:spacing w:val="-2"/>
                <w:sz w:val="18"/>
              </w:rPr>
              <w:t>(15.0)</w:t>
            </w:r>
          </w:p>
        </w:tc>
        <w:tc>
          <w:tcPr>
            <w:tcW w:w="1098" w:type="dxa"/>
            <w:tcBorders>
              <w:top w:val="single" w:sz="4" w:space="0" w:color="000000"/>
            </w:tcBorders>
          </w:tcPr>
          <w:p>
            <w:pPr>
              <w:pStyle w:val="TableParagraph"/>
              <w:spacing w:before="31"/>
              <w:ind w:left="63" w:right="79"/>
              <w:rPr>
                <w:sz w:val="18"/>
              </w:rPr>
            </w:pPr>
            <w:r>
              <w:rPr>
                <w:sz w:val="18"/>
              </w:rPr>
              <w:t>39</w:t>
            </w:r>
            <w:r>
              <w:rPr>
                <w:spacing w:val="2"/>
                <w:sz w:val="18"/>
              </w:rPr>
              <w:t> </w:t>
            </w:r>
            <w:r>
              <w:rPr>
                <w:spacing w:val="-2"/>
                <w:sz w:val="18"/>
              </w:rPr>
              <w:t>(21.7)</w:t>
            </w:r>
          </w:p>
        </w:tc>
        <w:tc>
          <w:tcPr>
            <w:tcW w:w="1061" w:type="dxa"/>
            <w:tcBorders>
              <w:top w:val="single" w:sz="4" w:space="0" w:color="000000"/>
            </w:tcBorders>
          </w:tcPr>
          <w:p>
            <w:pPr>
              <w:pStyle w:val="TableParagraph"/>
              <w:spacing w:before="31"/>
              <w:ind w:left="116" w:right="131"/>
              <w:rPr>
                <w:sz w:val="18"/>
              </w:rPr>
            </w:pPr>
            <w:r>
              <w:rPr>
                <w:sz w:val="18"/>
              </w:rPr>
              <w:t>30</w:t>
            </w:r>
            <w:r>
              <w:rPr>
                <w:spacing w:val="2"/>
                <w:sz w:val="18"/>
              </w:rPr>
              <w:t> </w:t>
            </w:r>
            <w:r>
              <w:rPr>
                <w:spacing w:val="-2"/>
                <w:sz w:val="18"/>
              </w:rPr>
              <w:t>(16.7)</w:t>
            </w:r>
          </w:p>
        </w:tc>
        <w:tc>
          <w:tcPr>
            <w:tcW w:w="1071" w:type="dxa"/>
            <w:tcBorders>
              <w:top w:val="single" w:sz="4" w:space="0" w:color="000000"/>
            </w:tcBorders>
          </w:tcPr>
          <w:p>
            <w:pPr>
              <w:pStyle w:val="TableParagraph"/>
              <w:spacing w:before="31"/>
              <w:ind w:left="13" w:right="3"/>
              <w:rPr>
                <w:sz w:val="18"/>
              </w:rPr>
            </w:pPr>
            <w:r>
              <w:rPr>
                <w:sz w:val="18"/>
              </w:rPr>
              <w:t>36</w:t>
            </w:r>
            <w:r>
              <w:rPr>
                <w:spacing w:val="2"/>
                <w:sz w:val="18"/>
              </w:rPr>
              <w:t> </w:t>
            </w:r>
            <w:r>
              <w:rPr>
                <w:spacing w:val="-2"/>
                <w:sz w:val="18"/>
              </w:rPr>
              <w:t>(20.0)</w:t>
            </w:r>
          </w:p>
        </w:tc>
        <w:tc>
          <w:tcPr>
            <w:tcW w:w="1087" w:type="dxa"/>
            <w:tcBorders>
              <w:top w:val="single" w:sz="4" w:space="0" w:color="000000"/>
            </w:tcBorders>
          </w:tcPr>
          <w:p>
            <w:pPr>
              <w:pStyle w:val="TableParagraph"/>
              <w:spacing w:before="31"/>
              <w:ind w:left="12"/>
              <w:rPr>
                <w:sz w:val="18"/>
              </w:rPr>
            </w:pPr>
            <w:r>
              <w:rPr>
                <w:sz w:val="18"/>
              </w:rPr>
              <w:t>25</w:t>
            </w:r>
            <w:r>
              <w:rPr>
                <w:spacing w:val="2"/>
                <w:sz w:val="18"/>
              </w:rPr>
              <w:t> </w:t>
            </w:r>
            <w:r>
              <w:rPr>
                <w:spacing w:val="-2"/>
                <w:sz w:val="18"/>
              </w:rPr>
              <w:t>(14.0)</w:t>
            </w:r>
          </w:p>
        </w:tc>
        <w:tc>
          <w:tcPr>
            <w:tcW w:w="1287" w:type="dxa"/>
            <w:tcBorders>
              <w:top w:val="single" w:sz="4" w:space="0" w:color="000000"/>
            </w:tcBorders>
          </w:tcPr>
          <w:p>
            <w:pPr>
              <w:pStyle w:val="TableParagraph"/>
              <w:spacing w:before="31"/>
              <w:ind w:left="1" w:right="18"/>
              <w:rPr>
                <w:sz w:val="18"/>
              </w:rPr>
            </w:pPr>
            <w:r>
              <w:rPr>
                <w:sz w:val="18"/>
              </w:rPr>
              <w:t>45</w:t>
            </w:r>
            <w:r>
              <w:rPr>
                <w:spacing w:val="2"/>
                <w:sz w:val="18"/>
              </w:rPr>
              <w:t> </w:t>
            </w:r>
            <w:r>
              <w:rPr>
                <w:spacing w:val="-2"/>
                <w:sz w:val="18"/>
              </w:rPr>
              <w:t>(25.1)</w:t>
            </w:r>
          </w:p>
        </w:tc>
        <w:tc>
          <w:tcPr>
            <w:tcW w:w="1144" w:type="dxa"/>
            <w:tcBorders>
              <w:top w:val="single" w:sz="4" w:space="0" w:color="000000"/>
            </w:tcBorders>
          </w:tcPr>
          <w:p>
            <w:pPr>
              <w:pStyle w:val="TableParagraph"/>
              <w:spacing w:before="31"/>
              <w:ind w:left="3" w:right="22"/>
              <w:rPr>
                <w:sz w:val="18"/>
              </w:rPr>
            </w:pPr>
            <w:r>
              <w:rPr>
                <w:sz w:val="18"/>
              </w:rPr>
              <w:t>33</w:t>
            </w:r>
            <w:r>
              <w:rPr>
                <w:spacing w:val="2"/>
                <w:sz w:val="18"/>
              </w:rPr>
              <w:t> </w:t>
            </w:r>
            <w:r>
              <w:rPr>
                <w:spacing w:val="-2"/>
                <w:sz w:val="18"/>
              </w:rPr>
              <w:t>(18.4)</w:t>
            </w:r>
          </w:p>
        </w:tc>
      </w:tr>
      <w:tr>
        <w:trPr>
          <w:trHeight w:val="277" w:hRule="atLeast"/>
        </w:trPr>
        <w:tc>
          <w:tcPr>
            <w:tcW w:w="1022" w:type="dxa"/>
            <w:vMerge/>
            <w:tcBorders>
              <w:top w:val="nil"/>
            </w:tcBorders>
          </w:tcPr>
          <w:p>
            <w:pPr>
              <w:rPr>
                <w:sz w:val="2"/>
                <w:szCs w:val="2"/>
              </w:rPr>
            </w:pPr>
          </w:p>
        </w:tc>
        <w:tc>
          <w:tcPr>
            <w:tcW w:w="828" w:type="dxa"/>
          </w:tcPr>
          <w:p>
            <w:pPr>
              <w:pStyle w:val="TableParagraph"/>
              <w:spacing w:before="28"/>
              <w:ind w:left="2" w:right="17"/>
              <w:rPr>
                <w:sz w:val="18"/>
              </w:rPr>
            </w:pPr>
            <w:r>
              <w:rPr>
                <w:spacing w:val="-5"/>
                <w:sz w:val="18"/>
              </w:rPr>
              <w:t>SI</w:t>
            </w:r>
          </w:p>
        </w:tc>
        <w:tc>
          <w:tcPr>
            <w:tcW w:w="1062" w:type="dxa"/>
          </w:tcPr>
          <w:p>
            <w:pPr>
              <w:pStyle w:val="TableParagraph"/>
              <w:spacing w:before="28"/>
              <w:ind w:left="2" w:right="18"/>
              <w:rPr>
                <w:sz w:val="18"/>
              </w:rPr>
            </w:pPr>
            <w:r>
              <w:rPr>
                <w:sz w:val="18"/>
              </w:rPr>
              <w:t>34</w:t>
            </w:r>
            <w:r>
              <w:rPr>
                <w:spacing w:val="2"/>
                <w:sz w:val="18"/>
              </w:rPr>
              <w:t> </w:t>
            </w:r>
            <w:r>
              <w:rPr>
                <w:spacing w:val="-2"/>
                <w:sz w:val="18"/>
              </w:rPr>
              <w:t>(18.9)</w:t>
            </w:r>
          </w:p>
        </w:tc>
        <w:tc>
          <w:tcPr>
            <w:tcW w:w="1098" w:type="dxa"/>
          </w:tcPr>
          <w:p>
            <w:pPr>
              <w:pStyle w:val="TableParagraph"/>
              <w:spacing w:before="28"/>
              <w:ind w:left="63" w:right="79"/>
              <w:rPr>
                <w:sz w:val="18"/>
              </w:rPr>
            </w:pPr>
            <w:r>
              <w:rPr>
                <w:sz w:val="18"/>
              </w:rPr>
              <w:t>91</w:t>
            </w:r>
            <w:r>
              <w:rPr>
                <w:spacing w:val="2"/>
                <w:sz w:val="18"/>
              </w:rPr>
              <w:t> </w:t>
            </w:r>
            <w:r>
              <w:rPr>
                <w:spacing w:val="-2"/>
                <w:sz w:val="18"/>
              </w:rPr>
              <w:t>(50.6)</w:t>
            </w:r>
          </w:p>
        </w:tc>
        <w:tc>
          <w:tcPr>
            <w:tcW w:w="1061" w:type="dxa"/>
          </w:tcPr>
          <w:p>
            <w:pPr>
              <w:pStyle w:val="TableParagraph"/>
              <w:spacing w:before="28"/>
              <w:ind w:left="116" w:right="131"/>
              <w:rPr>
                <w:sz w:val="18"/>
              </w:rPr>
            </w:pPr>
            <w:r>
              <w:rPr>
                <w:sz w:val="18"/>
              </w:rPr>
              <w:t>50</w:t>
            </w:r>
            <w:r>
              <w:rPr>
                <w:spacing w:val="2"/>
                <w:sz w:val="18"/>
              </w:rPr>
              <w:t> </w:t>
            </w:r>
            <w:r>
              <w:rPr>
                <w:spacing w:val="-2"/>
                <w:sz w:val="18"/>
              </w:rPr>
              <w:t>(27.8)</w:t>
            </w:r>
          </w:p>
        </w:tc>
        <w:tc>
          <w:tcPr>
            <w:tcW w:w="1071" w:type="dxa"/>
          </w:tcPr>
          <w:p>
            <w:pPr>
              <w:pStyle w:val="TableParagraph"/>
              <w:spacing w:before="28"/>
              <w:ind w:left="13" w:right="3"/>
              <w:rPr>
                <w:sz w:val="18"/>
              </w:rPr>
            </w:pPr>
            <w:r>
              <w:rPr>
                <w:sz w:val="18"/>
              </w:rPr>
              <w:t>58</w:t>
            </w:r>
            <w:r>
              <w:rPr>
                <w:spacing w:val="2"/>
                <w:sz w:val="18"/>
              </w:rPr>
              <w:t> </w:t>
            </w:r>
            <w:r>
              <w:rPr>
                <w:spacing w:val="-2"/>
                <w:sz w:val="18"/>
              </w:rPr>
              <w:t>(32.2)</w:t>
            </w:r>
          </w:p>
        </w:tc>
        <w:tc>
          <w:tcPr>
            <w:tcW w:w="1087" w:type="dxa"/>
          </w:tcPr>
          <w:p>
            <w:pPr>
              <w:pStyle w:val="TableParagraph"/>
              <w:spacing w:before="28"/>
              <w:ind w:left="12"/>
              <w:rPr>
                <w:sz w:val="18"/>
              </w:rPr>
            </w:pPr>
            <w:r>
              <w:rPr>
                <w:sz w:val="18"/>
              </w:rPr>
              <w:t>64</w:t>
            </w:r>
            <w:r>
              <w:rPr>
                <w:spacing w:val="2"/>
                <w:sz w:val="18"/>
              </w:rPr>
              <w:t> </w:t>
            </w:r>
            <w:r>
              <w:rPr>
                <w:spacing w:val="-2"/>
                <w:sz w:val="18"/>
              </w:rPr>
              <w:t>(35.8)</w:t>
            </w:r>
          </w:p>
        </w:tc>
        <w:tc>
          <w:tcPr>
            <w:tcW w:w="1287" w:type="dxa"/>
          </w:tcPr>
          <w:p>
            <w:pPr>
              <w:pStyle w:val="TableParagraph"/>
              <w:spacing w:before="28"/>
              <w:ind w:left="2" w:right="18"/>
              <w:rPr>
                <w:sz w:val="18"/>
              </w:rPr>
            </w:pPr>
            <w:r>
              <w:rPr>
                <w:sz w:val="18"/>
              </w:rPr>
              <w:t>58</w:t>
            </w:r>
            <w:r>
              <w:rPr>
                <w:spacing w:val="2"/>
                <w:sz w:val="18"/>
              </w:rPr>
              <w:t> </w:t>
            </w:r>
            <w:r>
              <w:rPr>
                <w:spacing w:val="-2"/>
                <w:sz w:val="18"/>
              </w:rPr>
              <w:t>(32.4)</w:t>
            </w:r>
          </w:p>
        </w:tc>
        <w:tc>
          <w:tcPr>
            <w:tcW w:w="1144" w:type="dxa"/>
          </w:tcPr>
          <w:p>
            <w:pPr>
              <w:pStyle w:val="TableParagraph"/>
              <w:spacing w:before="28"/>
              <w:ind w:left="3" w:right="22"/>
              <w:rPr>
                <w:sz w:val="18"/>
              </w:rPr>
            </w:pPr>
            <w:r>
              <w:rPr>
                <w:sz w:val="18"/>
              </w:rPr>
              <w:t>34</w:t>
            </w:r>
            <w:r>
              <w:rPr>
                <w:spacing w:val="2"/>
                <w:sz w:val="18"/>
              </w:rPr>
              <w:t> </w:t>
            </w:r>
            <w:r>
              <w:rPr>
                <w:spacing w:val="-2"/>
                <w:sz w:val="18"/>
              </w:rPr>
              <w:t>(19.0)</w:t>
            </w:r>
          </w:p>
        </w:tc>
      </w:tr>
      <w:tr>
        <w:trPr>
          <w:trHeight w:val="194" w:hRule="atLeast"/>
        </w:trPr>
        <w:tc>
          <w:tcPr>
            <w:tcW w:w="1022" w:type="dxa"/>
            <w:tcBorders>
              <w:bottom w:val="single" w:sz="4" w:space="0" w:color="000000"/>
            </w:tcBorders>
          </w:tcPr>
          <w:p>
            <w:pPr>
              <w:pStyle w:val="TableParagraph"/>
              <w:jc w:val="left"/>
              <w:rPr>
                <w:sz w:val="12"/>
              </w:rPr>
            </w:pPr>
          </w:p>
        </w:tc>
        <w:tc>
          <w:tcPr>
            <w:tcW w:w="828" w:type="dxa"/>
            <w:tcBorders>
              <w:bottom w:val="single" w:sz="4" w:space="0" w:color="000000"/>
            </w:tcBorders>
          </w:tcPr>
          <w:p>
            <w:pPr>
              <w:pStyle w:val="TableParagraph"/>
              <w:spacing w:line="175" w:lineRule="exact"/>
              <w:ind w:left="5" w:right="17"/>
              <w:rPr>
                <w:sz w:val="18"/>
              </w:rPr>
            </w:pPr>
            <w:r>
              <w:rPr>
                <w:spacing w:val="-5"/>
                <w:sz w:val="18"/>
              </w:rPr>
              <w:t>VI</w:t>
            </w:r>
          </w:p>
        </w:tc>
        <w:tc>
          <w:tcPr>
            <w:tcW w:w="1062" w:type="dxa"/>
            <w:tcBorders>
              <w:bottom w:val="single" w:sz="4" w:space="0" w:color="000000"/>
            </w:tcBorders>
          </w:tcPr>
          <w:p>
            <w:pPr>
              <w:pStyle w:val="TableParagraph"/>
              <w:spacing w:line="175" w:lineRule="exact"/>
              <w:ind w:left="3" w:right="18"/>
              <w:rPr>
                <w:sz w:val="18"/>
              </w:rPr>
            </w:pPr>
            <w:r>
              <w:rPr>
                <w:sz w:val="18"/>
              </w:rPr>
              <w:t>119</w:t>
            </w:r>
            <w:r>
              <w:rPr>
                <w:spacing w:val="-1"/>
                <w:sz w:val="18"/>
              </w:rPr>
              <w:t> </w:t>
            </w:r>
            <w:r>
              <w:rPr>
                <w:spacing w:val="-2"/>
                <w:sz w:val="18"/>
              </w:rPr>
              <w:t>(66.1)</w:t>
            </w:r>
          </w:p>
        </w:tc>
        <w:tc>
          <w:tcPr>
            <w:tcW w:w="1098" w:type="dxa"/>
            <w:tcBorders>
              <w:bottom w:val="single" w:sz="4" w:space="0" w:color="000000"/>
            </w:tcBorders>
          </w:tcPr>
          <w:p>
            <w:pPr>
              <w:pStyle w:val="TableParagraph"/>
              <w:spacing w:line="175" w:lineRule="exact"/>
              <w:ind w:left="63" w:right="79"/>
              <w:rPr>
                <w:sz w:val="18"/>
              </w:rPr>
            </w:pPr>
            <w:r>
              <w:rPr>
                <w:sz w:val="18"/>
              </w:rPr>
              <w:t>50</w:t>
            </w:r>
            <w:r>
              <w:rPr>
                <w:spacing w:val="2"/>
                <w:sz w:val="18"/>
              </w:rPr>
              <w:t> </w:t>
            </w:r>
            <w:r>
              <w:rPr>
                <w:spacing w:val="-2"/>
                <w:sz w:val="18"/>
              </w:rPr>
              <w:t>(27.8)</w:t>
            </w:r>
          </w:p>
        </w:tc>
        <w:tc>
          <w:tcPr>
            <w:tcW w:w="1061" w:type="dxa"/>
            <w:tcBorders>
              <w:bottom w:val="single" w:sz="4" w:space="0" w:color="000000"/>
            </w:tcBorders>
          </w:tcPr>
          <w:p>
            <w:pPr>
              <w:pStyle w:val="TableParagraph"/>
              <w:spacing w:line="175" w:lineRule="exact"/>
              <w:ind w:left="117" w:right="131"/>
              <w:rPr>
                <w:sz w:val="18"/>
              </w:rPr>
            </w:pPr>
            <w:r>
              <w:rPr>
                <w:sz w:val="18"/>
              </w:rPr>
              <w:t>100</w:t>
            </w:r>
            <w:r>
              <w:rPr>
                <w:spacing w:val="-1"/>
                <w:sz w:val="18"/>
              </w:rPr>
              <w:t> </w:t>
            </w:r>
            <w:r>
              <w:rPr>
                <w:spacing w:val="-2"/>
                <w:sz w:val="18"/>
              </w:rPr>
              <w:t>(55.6)</w:t>
            </w:r>
          </w:p>
        </w:tc>
        <w:tc>
          <w:tcPr>
            <w:tcW w:w="1071" w:type="dxa"/>
            <w:tcBorders>
              <w:bottom w:val="single" w:sz="4" w:space="0" w:color="000000"/>
            </w:tcBorders>
          </w:tcPr>
          <w:p>
            <w:pPr>
              <w:pStyle w:val="TableParagraph"/>
              <w:spacing w:line="175" w:lineRule="exact"/>
              <w:ind w:left="13" w:right="3"/>
              <w:rPr>
                <w:sz w:val="18"/>
              </w:rPr>
            </w:pPr>
            <w:r>
              <w:rPr>
                <w:sz w:val="18"/>
              </w:rPr>
              <w:t>86</w:t>
            </w:r>
            <w:r>
              <w:rPr>
                <w:spacing w:val="2"/>
                <w:sz w:val="18"/>
              </w:rPr>
              <w:t> </w:t>
            </w:r>
            <w:r>
              <w:rPr>
                <w:spacing w:val="-2"/>
                <w:sz w:val="18"/>
              </w:rPr>
              <w:t>(47.8)</w:t>
            </w:r>
          </w:p>
        </w:tc>
        <w:tc>
          <w:tcPr>
            <w:tcW w:w="1087" w:type="dxa"/>
            <w:tcBorders>
              <w:bottom w:val="single" w:sz="4" w:space="0" w:color="000000"/>
            </w:tcBorders>
          </w:tcPr>
          <w:p>
            <w:pPr>
              <w:pStyle w:val="TableParagraph"/>
              <w:spacing w:line="175" w:lineRule="exact"/>
              <w:ind w:left="12"/>
              <w:rPr>
                <w:sz w:val="18"/>
              </w:rPr>
            </w:pPr>
            <w:r>
              <w:rPr>
                <w:sz w:val="18"/>
              </w:rPr>
              <w:t>90</w:t>
            </w:r>
            <w:r>
              <w:rPr>
                <w:spacing w:val="2"/>
                <w:sz w:val="18"/>
              </w:rPr>
              <w:t> </w:t>
            </w:r>
            <w:r>
              <w:rPr>
                <w:spacing w:val="-2"/>
                <w:sz w:val="18"/>
              </w:rPr>
              <w:t>(50.3)</w:t>
            </w:r>
          </w:p>
        </w:tc>
        <w:tc>
          <w:tcPr>
            <w:tcW w:w="1287" w:type="dxa"/>
            <w:tcBorders>
              <w:bottom w:val="single" w:sz="4" w:space="0" w:color="000000"/>
            </w:tcBorders>
          </w:tcPr>
          <w:p>
            <w:pPr>
              <w:pStyle w:val="TableParagraph"/>
              <w:spacing w:line="175" w:lineRule="exact"/>
              <w:ind w:left="2" w:right="18"/>
              <w:rPr>
                <w:sz w:val="18"/>
              </w:rPr>
            </w:pPr>
            <w:r>
              <w:rPr>
                <w:sz w:val="18"/>
              </w:rPr>
              <w:t>76</w:t>
            </w:r>
            <w:r>
              <w:rPr>
                <w:spacing w:val="2"/>
                <w:sz w:val="18"/>
              </w:rPr>
              <w:t> </w:t>
            </w:r>
            <w:r>
              <w:rPr>
                <w:spacing w:val="-2"/>
                <w:sz w:val="18"/>
              </w:rPr>
              <w:t>(42.5)</w:t>
            </w:r>
          </w:p>
        </w:tc>
        <w:tc>
          <w:tcPr>
            <w:tcW w:w="1144" w:type="dxa"/>
            <w:tcBorders>
              <w:bottom w:val="single" w:sz="4" w:space="0" w:color="000000"/>
            </w:tcBorders>
          </w:tcPr>
          <w:p>
            <w:pPr>
              <w:pStyle w:val="TableParagraph"/>
              <w:spacing w:line="175" w:lineRule="exact"/>
              <w:ind w:left="1" w:right="22"/>
              <w:rPr>
                <w:sz w:val="18"/>
              </w:rPr>
            </w:pPr>
            <w:r>
              <w:rPr>
                <w:sz w:val="18"/>
              </w:rPr>
              <w:t>112</w:t>
            </w:r>
            <w:r>
              <w:rPr>
                <w:spacing w:val="-1"/>
                <w:sz w:val="18"/>
              </w:rPr>
              <w:t> </w:t>
            </w:r>
            <w:r>
              <w:rPr>
                <w:spacing w:val="-2"/>
                <w:sz w:val="18"/>
              </w:rPr>
              <w:t>(62.6)</w:t>
            </w:r>
          </w:p>
        </w:tc>
      </w:tr>
      <w:tr>
        <w:trPr>
          <w:trHeight w:val="247" w:hRule="atLeast"/>
        </w:trPr>
        <w:tc>
          <w:tcPr>
            <w:tcW w:w="1022" w:type="dxa"/>
            <w:vMerge w:val="restart"/>
            <w:tcBorders>
              <w:top w:val="single" w:sz="4" w:space="0" w:color="000000"/>
            </w:tcBorders>
          </w:tcPr>
          <w:p>
            <w:pPr>
              <w:pStyle w:val="TableParagraph"/>
              <w:spacing w:before="71"/>
              <w:ind w:left="15" w:right="2"/>
              <w:rPr>
                <w:sz w:val="18"/>
              </w:rPr>
            </w:pPr>
            <w:r>
              <w:rPr>
                <w:spacing w:val="-2"/>
                <w:sz w:val="18"/>
              </w:rPr>
              <w:t>Maryland</w:t>
            </w:r>
          </w:p>
          <w:p>
            <w:pPr>
              <w:pStyle w:val="TableParagraph"/>
              <w:spacing w:before="2"/>
              <w:ind w:left="15" w:right="4"/>
              <w:rPr>
                <w:sz w:val="18"/>
              </w:rPr>
            </w:pPr>
            <w:r>
              <w:rPr>
                <w:i/>
                <w:sz w:val="18"/>
              </w:rPr>
              <w:t>n</w:t>
            </w:r>
            <w:r>
              <w:rPr>
                <w:i/>
                <w:spacing w:val="1"/>
                <w:sz w:val="18"/>
              </w:rPr>
              <w:t> </w:t>
            </w:r>
            <w:r>
              <w:rPr>
                <w:spacing w:val="-5"/>
                <w:sz w:val="18"/>
              </w:rPr>
              <w:t>(%)</w:t>
            </w:r>
          </w:p>
        </w:tc>
        <w:tc>
          <w:tcPr>
            <w:tcW w:w="828" w:type="dxa"/>
            <w:tcBorders>
              <w:top w:val="single" w:sz="4" w:space="0" w:color="000000"/>
            </w:tcBorders>
          </w:tcPr>
          <w:p>
            <w:pPr>
              <w:pStyle w:val="TableParagraph"/>
              <w:spacing w:before="14"/>
              <w:ind w:left="1" w:right="17"/>
              <w:rPr>
                <w:sz w:val="18"/>
              </w:rPr>
            </w:pPr>
            <w:r>
              <w:rPr>
                <w:spacing w:val="-5"/>
                <w:sz w:val="18"/>
              </w:rPr>
              <w:t>NI</w:t>
            </w:r>
          </w:p>
        </w:tc>
        <w:tc>
          <w:tcPr>
            <w:tcW w:w="1062" w:type="dxa"/>
            <w:tcBorders>
              <w:top w:val="single" w:sz="4" w:space="0" w:color="000000"/>
            </w:tcBorders>
          </w:tcPr>
          <w:p>
            <w:pPr>
              <w:pStyle w:val="TableParagraph"/>
              <w:spacing w:before="14"/>
              <w:ind w:left="2" w:right="18"/>
              <w:rPr>
                <w:sz w:val="18"/>
              </w:rPr>
            </w:pPr>
            <w:r>
              <w:rPr>
                <w:sz w:val="18"/>
              </w:rPr>
              <w:t>83</w:t>
            </w:r>
            <w:r>
              <w:rPr>
                <w:spacing w:val="2"/>
                <w:sz w:val="18"/>
              </w:rPr>
              <w:t> </w:t>
            </w:r>
            <w:r>
              <w:rPr>
                <w:spacing w:val="-2"/>
                <w:sz w:val="18"/>
              </w:rPr>
              <w:t>(47.2)</w:t>
            </w:r>
          </w:p>
        </w:tc>
        <w:tc>
          <w:tcPr>
            <w:tcW w:w="1098" w:type="dxa"/>
            <w:tcBorders>
              <w:top w:val="single" w:sz="4" w:space="0" w:color="000000"/>
            </w:tcBorders>
          </w:tcPr>
          <w:p>
            <w:pPr>
              <w:pStyle w:val="TableParagraph"/>
              <w:spacing w:before="14"/>
              <w:ind w:left="63" w:right="79"/>
              <w:rPr>
                <w:sz w:val="18"/>
              </w:rPr>
            </w:pPr>
            <w:r>
              <w:rPr>
                <w:sz w:val="18"/>
              </w:rPr>
              <w:t>39</w:t>
            </w:r>
            <w:r>
              <w:rPr>
                <w:spacing w:val="2"/>
                <w:sz w:val="18"/>
              </w:rPr>
              <w:t> </w:t>
            </w:r>
            <w:r>
              <w:rPr>
                <w:spacing w:val="-2"/>
                <w:sz w:val="18"/>
              </w:rPr>
              <w:t>(22.0)</w:t>
            </w:r>
          </w:p>
        </w:tc>
        <w:tc>
          <w:tcPr>
            <w:tcW w:w="1061" w:type="dxa"/>
            <w:tcBorders>
              <w:top w:val="single" w:sz="4" w:space="0" w:color="000000"/>
            </w:tcBorders>
          </w:tcPr>
          <w:p>
            <w:pPr>
              <w:pStyle w:val="TableParagraph"/>
              <w:spacing w:before="14"/>
              <w:ind w:left="116" w:right="131"/>
              <w:rPr>
                <w:sz w:val="18"/>
              </w:rPr>
            </w:pPr>
            <w:r>
              <w:rPr>
                <w:sz w:val="18"/>
              </w:rPr>
              <w:t>53</w:t>
            </w:r>
            <w:r>
              <w:rPr>
                <w:spacing w:val="2"/>
                <w:sz w:val="18"/>
              </w:rPr>
              <w:t> </w:t>
            </w:r>
            <w:r>
              <w:rPr>
                <w:spacing w:val="-2"/>
                <w:sz w:val="18"/>
              </w:rPr>
              <w:t>(30.8)</w:t>
            </w:r>
          </w:p>
        </w:tc>
        <w:tc>
          <w:tcPr>
            <w:tcW w:w="1071" w:type="dxa"/>
            <w:tcBorders>
              <w:top w:val="single" w:sz="4" w:space="0" w:color="000000"/>
            </w:tcBorders>
          </w:tcPr>
          <w:p>
            <w:pPr>
              <w:pStyle w:val="TableParagraph"/>
              <w:spacing w:before="14"/>
              <w:ind w:left="13" w:right="3"/>
              <w:rPr>
                <w:sz w:val="18"/>
              </w:rPr>
            </w:pPr>
            <w:r>
              <w:rPr>
                <w:sz w:val="18"/>
              </w:rPr>
              <w:t>51</w:t>
            </w:r>
            <w:r>
              <w:rPr>
                <w:spacing w:val="2"/>
                <w:sz w:val="18"/>
              </w:rPr>
              <w:t> </w:t>
            </w:r>
            <w:r>
              <w:rPr>
                <w:spacing w:val="-2"/>
                <w:sz w:val="18"/>
              </w:rPr>
              <w:t>(29.3)</w:t>
            </w:r>
          </w:p>
        </w:tc>
        <w:tc>
          <w:tcPr>
            <w:tcW w:w="1087" w:type="dxa"/>
            <w:tcBorders>
              <w:top w:val="single" w:sz="4" w:space="0" w:color="000000"/>
            </w:tcBorders>
          </w:tcPr>
          <w:p>
            <w:pPr>
              <w:pStyle w:val="TableParagraph"/>
              <w:spacing w:before="14"/>
              <w:ind w:left="12"/>
              <w:rPr>
                <w:sz w:val="18"/>
              </w:rPr>
            </w:pPr>
            <w:r>
              <w:rPr>
                <w:sz w:val="18"/>
              </w:rPr>
              <w:t>34</w:t>
            </w:r>
            <w:r>
              <w:rPr>
                <w:spacing w:val="2"/>
                <w:sz w:val="18"/>
              </w:rPr>
              <w:t> </w:t>
            </w:r>
            <w:r>
              <w:rPr>
                <w:spacing w:val="-2"/>
                <w:sz w:val="18"/>
              </w:rPr>
              <w:t>(19.7)</w:t>
            </w:r>
          </w:p>
        </w:tc>
        <w:tc>
          <w:tcPr>
            <w:tcW w:w="1287" w:type="dxa"/>
            <w:tcBorders>
              <w:top w:val="single" w:sz="4" w:space="0" w:color="000000"/>
            </w:tcBorders>
          </w:tcPr>
          <w:p>
            <w:pPr>
              <w:pStyle w:val="TableParagraph"/>
              <w:spacing w:before="14"/>
              <w:ind w:left="2" w:right="18"/>
              <w:rPr>
                <w:sz w:val="18"/>
              </w:rPr>
            </w:pPr>
            <w:r>
              <w:rPr>
                <w:sz w:val="18"/>
              </w:rPr>
              <w:t>43</w:t>
            </w:r>
            <w:r>
              <w:rPr>
                <w:spacing w:val="2"/>
                <w:sz w:val="18"/>
              </w:rPr>
              <w:t> </w:t>
            </w:r>
            <w:r>
              <w:rPr>
                <w:spacing w:val="-2"/>
                <w:sz w:val="18"/>
              </w:rPr>
              <w:t>(25.3)</w:t>
            </w:r>
          </w:p>
        </w:tc>
        <w:tc>
          <w:tcPr>
            <w:tcW w:w="1144" w:type="dxa"/>
            <w:tcBorders>
              <w:top w:val="single" w:sz="4" w:space="0" w:color="000000"/>
            </w:tcBorders>
          </w:tcPr>
          <w:p>
            <w:pPr>
              <w:pStyle w:val="TableParagraph"/>
              <w:spacing w:before="14"/>
              <w:ind w:left="3" w:right="22"/>
              <w:rPr>
                <w:sz w:val="18"/>
              </w:rPr>
            </w:pPr>
            <w:r>
              <w:rPr>
                <w:sz w:val="18"/>
              </w:rPr>
              <w:t>44</w:t>
            </w:r>
            <w:r>
              <w:rPr>
                <w:spacing w:val="2"/>
                <w:sz w:val="18"/>
              </w:rPr>
              <w:t> </w:t>
            </w:r>
            <w:r>
              <w:rPr>
                <w:spacing w:val="-2"/>
                <w:sz w:val="18"/>
              </w:rPr>
              <w:t>(27.3)</w:t>
            </w:r>
          </w:p>
        </w:tc>
      </w:tr>
      <w:tr>
        <w:trPr>
          <w:trHeight w:val="265" w:hRule="atLeast"/>
        </w:trPr>
        <w:tc>
          <w:tcPr>
            <w:tcW w:w="1022" w:type="dxa"/>
            <w:vMerge/>
            <w:tcBorders>
              <w:top w:val="nil"/>
            </w:tcBorders>
          </w:tcPr>
          <w:p>
            <w:pPr>
              <w:rPr>
                <w:sz w:val="2"/>
                <w:szCs w:val="2"/>
              </w:rPr>
            </w:pPr>
          </w:p>
        </w:tc>
        <w:tc>
          <w:tcPr>
            <w:tcW w:w="828" w:type="dxa"/>
          </w:tcPr>
          <w:p>
            <w:pPr>
              <w:pStyle w:val="TableParagraph"/>
              <w:spacing w:before="18"/>
              <w:ind w:left="2" w:right="17"/>
              <w:rPr>
                <w:sz w:val="18"/>
              </w:rPr>
            </w:pPr>
            <w:r>
              <w:rPr>
                <w:spacing w:val="-5"/>
                <w:sz w:val="18"/>
              </w:rPr>
              <w:t>SI</w:t>
            </w:r>
          </w:p>
        </w:tc>
        <w:tc>
          <w:tcPr>
            <w:tcW w:w="1062" w:type="dxa"/>
          </w:tcPr>
          <w:p>
            <w:pPr>
              <w:pStyle w:val="TableParagraph"/>
              <w:spacing w:before="18"/>
              <w:ind w:left="2" w:right="18"/>
              <w:rPr>
                <w:sz w:val="18"/>
              </w:rPr>
            </w:pPr>
            <w:r>
              <w:rPr>
                <w:sz w:val="18"/>
              </w:rPr>
              <w:t>39</w:t>
            </w:r>
            <w:r>
              <w:rPr>
                <w:spacing w:val="2"/>
                <w:sz w:val="18"/>
              </w:rPr>
              <w:t> </w:t>
            </w:r>
            <w:r>
              <w:rPr>
                <w:spacing w:val="-2"/>
                <w:sz w:val="18"/>
              </w:rPr>
              <w:t>(22.2)</w:t>
            </w:r>
          </w:p>
        </w:tc>
        <w:tc>
          <w:tcPr>
            <w:tcW w:w="1098" w:type="dxa"/>
          </w:tcPr>
          <w:p>
            <w:pPr>
              <w:pStyle w:val="TableParagraph"/>
              <w:spacing w:before="18"/>
              <w:ind w:left="63" w:right="78"/>
              <w:rPr>
                <w:sz w:val="18"/>
              </w:rPr>
            </w:pPr>
            <w:r>
              <w:rPr>
                <w:sz w:val="18"/>
              </w:rPr>
              <w:t>109</w:t>
            </w:r>
            <w:r>
              <w:rPr>
                <w:spacing w:val="-1"/>
                <w:sz w:val="18"/>
              </w:rPr>
              <w:t> </w:t>
            </w:r>
            <w:r>
              <w:rPr>
                <w:spacing w:val="-2"/>
                <w:sz w:val="18"/>
              </w:rPr>
              <w:t>(61.6)</w:t>
            </w:r>
          </w:p>
        </w:tc>
        <w:tc>
          <w:tcPr>
            <w:tcW w:w="1061" w:type="dxa"/>
          </w:tcPr>
          <w:p>
            <w:pPr>
              <w:pStyle w:val="TableParagraph"/>
              <w:spacing w:before="18"/>
              <w:ind w:left="116" w:right="131"/>
              <w:rPr>
                <w:sz w:val="18"/>
              </w:rPr>
            </w:pPr>
            <w:r>
              <w:rPr>
                <w:sz w:val="18"/>
              </w:rPr>
              <w:t>59</w:t>
            </w:r>
            <w:r>
              <w:rPr>
                <w:spacing w:val="2"/>
                <w:sz w:val="18"/>
              </w:rPr>
              <w:t> </w:t>
            </w:r>
            <w:r>
              <w:rPr>
                <w:spacing w:val="-2"/>
                <w:sz w:val="18"/>
              </w:rPr>
              <w:t>(34.3)</w:t>
            </w:r>
          </w:p>
        </w:tc>
        <w:tc>
          <w:tcPr>
            <w:tcW w:w="1071" w:type="dxa"/>
          </w:tcPr>
          <w:p>
            <w:pPr>
              <w:pStyle w:val="TableParagraph"/>
              <w:spacing w:before="18"/>
              <w:ind w:left="13"/>
              <w:rPr>
                <w:sz w:val="18"/>
              </w:rPr>
            </w:pPr>
            <w:r>
              <w:rPr>
                <w:sz w:val="18"/>
              </w:rPr>
              <w:t>52</w:t>
            </w:r>
            <w:r>
              <w:rPr>
                <w:spacing w:val="46"/>
                <w:sz w:val="18"/>
              </w:rPr>
              <w:t> </w:t>
            </w:r>
            <w:r>
              <w:rPr>
                <w:spacing w:val="-2"/>
                <w:sz w:val="18"/>
              </w:rPr>
              <w:t>(29.9)</w:t>
            </w:r>
          </w:p>
        </w:tc>
        <w:tc>
          <w:tcPr>
            <w:tcW w:w="1087" w:type="dxa"/>
          </w:tcPr>
          <w:p>
            <w:pPr>
              <w:pStyle w:val="TableParagraph"/>
              <w:spacing w:before="18"/>
              <w:ind w:left="12"/>
              <w:rPr>
                <w:sz w:val="18"/>
              </w:rPr>
            </w:pPr>
            <w:r>
              <w:rPr>
                <w:sz w:val="18"/>
              </w:rPr>
              <w:t>87</w:t>
            </w:r>
            <w:r>
              <w:rPr>
                <w:spacing w:val="2"/>
                <w:sz w:val="18"/>
              </w:rPr>
              <w:t> </w:t>
            </w:r>
            <w:r>
              <w:rPr>
                <w:spacing w:val="-2"/>
                <w:sz w:val="18"/>
              </w:rPr>
              <w:t>(50.3)</w:t>
            </w:r>
          </w:p>
        </w:tc>
        <w:tc>
          <w:tcPr>
            <w:tcW w:w="1287" w:type="dxa"/>
          </w:tcPr>
          <w:p>
            <w:pPr>
              <w:pStyle w:val="TableParagraph"/>
              <w:spacing w:before="18"/>
              <w:ind w:left="2" w:right="18"/>
              <w:rPr>
                <w:sz w:val="18"/>
              </w:rPr>
            </w:pPr>
            <w:r>
              <w:rPr>
                <w:sz w:val="18"/>
              </w:rPr>
              <w:t>71</w:t>
            </w:r>
            <w:r>
              <w:rPr>
                <w:spacing w:val="2"/>
                <w:sz w:val="18"/>
              </w:rPr>
              <w:t> </w:t>
            </w:r>
            <w:r>
              <w:rPr>
                <w:spacing w:val="-2"/>
                <w:sz w:val="18"/>
              </w:rPr>
              <w:t>(41.8)</w:t>
            </w:r>
          </w:p>
        </w:tc>
        <w:tc>
          <w:tcPr>
            <w:tcW w:w="1144" w:type="dxa"/>
          </w:tcPr>
          <w:p>
            <w:pPr>
              <w:pStyle w:val="TableParagraph"/>
              <w:spacing w:before="18"/>
              <w:ind w:left="3" w:right="22"/>
              <w:rPr>
                <w:sz w:val="18"/>
              </w:rPr>
            </w:pPr>
            <w:r>
              <w:rPr>
                <w:sz w:val="18"/>
              </w:rPr>
              <w:t>37</w:t>
            </w:r>
            <w:r>
              <w:rPr>
                <w:spacing w:val="2"/>
                <w:sz w:val="18"/>
              </w:rPr>
              <w:t> </w:t>
            </w:r>
            <w:r>
              <w:rPr>
                <w:spacing w:val="-2"/>
                <w:sz w:val="18"/>
              </w:rPr>
              <w:t>(21.5)</w:t>
            </w:r>
          </w:p>
        </w:tc>
      </w:tr>
      <w:tr>
        <w:trPr>
          <w:trHeight w:val="262" w:hRule="atLeast"/>
        </w:trPr>
        <w:tc>
          <w:tcPr>
            <w:tcW w:w="1022" w:type="dxa"/>
          </w:tcPr>
          <w:p>
            <w:pPr>
              <w:pStyle w:val="TableParagraph"/>
              <w:jc w:val="left"/>
              <w:rPr>
                <w:sz w:val="18"/>
              </w:rPr>
            </w:pPr>
          </w:p>
        </w:tc>
        <w:tc>
          <w:tcPr>
            <w:tcW w:w="828" w:type="dxa"/>
            <w:tcBorders>
              <w:bottom w:val="single" w:sz="4" w:space="0" w:color="000000"/>
            </w:tcBorders>
          </w:tcPr>
          <w:p>
            <w:pPr>
              <w:pStyle w:val="TableParagraph"/>
              <w:spacing w:before="17"/>
              <w:ind w:left="5" w:right="17"/>
              <w:rPr>
                <w:sz w:val="18"/>
              </w:rPr>
            </w:pPr>
            <w:r>
              <w:rPr>
                <w:spacing w:val="-5"/>
                <w:sz w:val="18"/>
              </w:rPr>
              <w:t>VI</w:t>
            </w:r>
          </w:p>
        </w:tc>
        <w:tc>
          <w:tcPr>
            <w:tcW w:w="1062" w:type="dxa"/>
            <w:tcBorders>
              <w:bottom w:val="single" w:sz="4" w:space="0" w:color="000000"/>
            </w:tcBorders>
          </w:tcPr>
          <w:p>
            <w:pPr>
              <w:pStyle w:val="TableParagraph"/>
              <w:spacing w:before="17"/>
              <w:ind w:left="2" w:right="18"/>
              <w:rPr>
                <w:sz w:val="18"/>
              </w:rPr>
            </w:pPr>
            <w:r>
              <w:rPr>
                <w:sz w:val="18"/>
              </w:rPr>
              <w:t>54</w:t>
            </w:r>
            <w:r>
              <w:rPr>
                <w:spacing w:val="2"/>
                <w:sz w:val="18"/>
              </w:rPr>
              <w:t> </w:t>
            </w:r>
            <w:r>
              <w:rPr>
                <w:spacing w:val="-2"/>
                <w:sz w:val="18"/>
              </w:rPr>
              <w:t>(30.7)</w:t>
            </w:r>
          </w:p>
        </w:tc>
        <w:tc>
          <w:tcPr>
            <w:tcW w:w="1098" w:type="dxa"/>
            <w:tcBorders>
              <w:bottom w:val="single" w:sz="4" w:space="0" w:color="000000"/>
            </w:tcBorders>
          </w:tcPr>
          <w:p>
            <w:pPr>
              <w:pStyle w:val="TableParagraph"/>
              <w:spacing w:before="17"/>
              <w:ind w:left="63" w:right="79"/>
              <w:rPr>
                <w:sz w:val="18"/>
              </w:rPr>
            </w:pPr>
            <w:r>
              <w:rPr>
                <w:sz w:val="18"/>
              </w:rPr>
              <w:t>29</w:t>
            </w:r>
            <w:r>
              <w:rPr>
                <w:spacing w:val="2"/>
                <w:sz w:val="18"/>
              </w:rPr>
              <w:t> </w:t>
            </w:r>
            <w:r>
              <w:rPr>
                <w:spacing w:val="-2"/>
                <w:sz w:val="18"/>
              </w:rPr>
              <w:t>(16.4)</w:t>
            </w:r>
          </w:p>
        </w:tc>
        <w:tc>
          <w:tcPr>
            <w:tcW w:w="1061" w:type="dxa"/>
            <w:tcBorders>
              <w:bottom w:val="single" w:sz="4" w:space="0" w:color="000000"/>
            </w:tcBorders>
          </w:tcPr>
          <w:p>
            <w:pPr>
              <w:pStyle w:val="TableParagraph"/>
              <w:spacing w:before="17"/>
              <w:ind w:left="116" w:right="131"/>
              <w:rPr>
                <w:sz w:val="18"/>
              </w:rPr>
            </w:pPr>
            <w:r>
              <w:rPr>
                <w:sz w:val="18"/>
              </w:rPr>
              <w:t>60</w:t>
            </w:r>
            <w:r>
              <w:rPr>
                <w:spacing w:val="2"/>
                <w:sz w:val="18"/>
              </w:rPr>
              <w:t> </w:t>
            </w:r>
            <w:r>
              <w:rPr>
                <w:spacing w:val="-2"/>
                <w:sz w:val="18"/>
              </w:rPr>
              <w:t>(34.9)</w:t>
            </w:r>
          </w:p>
        </w:tc>
        <w:tc>
          <w:tcPr>
            <w:tcW w:w="1071" w:type="dxa"/>
            <w:tcBorders>
              <w:bottom w:val="single" w:sz="4" w:space="0" w:color="000000"/>
            </w:tcBorders>
          </w:tcPr>
          <w:p>
            <w:pPr>
              <w:pStyle w:val="TableParagraph"/>
              <w:spacing w:before="17"/>
              <w:ind w:left="13" w:right="3"/>
              <w:rPr>
                <w:sz w:val="18"/>
              </w:rPr>
            </w:pPr>
            <w:r>
              <w:rPr>
                <w:sz w:val="18"/>
              </w:rPr>
              <w:t>71</w:t>
            </w:r>
            <w:r>
              <w:rPr>
                <w:spacing w:val="2"/>
                <w:sz w:val="18"/>
              </w:rPr>
              <w:t> </w:t>
            </w:r>
            <w:r>
              <w:rPr>
                <w:spacing w:val="-2"/>
                <w:sz w:val="18"/>
              </w:rPr>
              <w:t>(40.8)</w:t>
            </w:r>
          </w:p>
        </w:tc>
        <w:tc>
          <w:tcPr>
            <w:tcW w:w="1087" w:type="dxa"/>
            <w:tcBorders>
              <w:bottom w:val="single" w:sz="4" w:space="0" w:color="000000"/>
            </w:tcBorders>
          </w:tcPr>
          <w:p>
            <w:pPr>
              <w:pStyle w:val="TableParagraph"/>
              <w:spacing w:before="17"/>
              <w:ind w:left="12"/>
              <w:rPr>
                <w:sz w:val="18"/>
              </w:rPr>
            </w:pPr>
            <w:r>
              <w:rPr>
                <w:sz w:val="18"/>
              </w:rPr>
              <w:t>52</w:t>
            </w:r>
            <w:r>
              <w:rPr>
                <w:spacing w:val="2"/>
                <w:sz w:val="18"/>
              </w:rPr>
              <w:t> </w:t>
            </w:r>
            <w:r>
              <w:rPr>
                <w:spacing w:val="-2"/>
                <w:sz w:val="18"/>
              </w:rPr>
              <w:t>(30.1)</w:t>
            </w:r>
          </w:p>
        </w:tc>
        <w:tc>
          <w:tcPr>
            <w:tcW w:w="1287" w:type="dxa"/>
            <w:tcBorders>
              <w:bottom w:val="single" w:sz="4" w:space="0" w:color="000000"/>
            </w:tcBorders>
          </w:tcPr>
          <w:p>
            <w:pPr>
              <w:pStyle w:val="TableParagraph"/>
              <w:spacing w:before="17"/>
              <w:ind w:left="2" w:right="18"/>
              <w:rPr>
                <w:sz w:val="18"/>
              </w:rPr>
            </w:pPr>
            <w:r>
              <w:rPr>
                <w:sz w:val="18"/>
              </w:rPr>
              <w:t>56</w:t>
            </w:r>
            <w:r>
              <w:rPr>
                <w:spacing w:val="2"/>
                <w:sz w:val="18"/>
              </w:rPr>
              <w:t> </w:t>
            </w:r>
            <w:r>
              <w:rPr>
                <w:spacing w:val="-2"/>
                <w:sz w:val="18"/>
              </w:rPr>
              <w:t>(32.9)</w:t>
            </w:r>
          </w:p>
        </w:tc>
        <w:tc>
          <w:tcPr>
            <w:tcW w:w="1144" w:type="dxa"/>
            <w:tcBorders>
              <w:bottom w:val="single" w:sz="4" w:space="0" w:color="000000"/>
            </w:tcBorders>
          </w:tcPr>
          <w:p>
            <w:pPr>
              <w:pStyle w:val="TableParagraph"/>
              <w:spacing w:before="17"/>
              <w:ind w:left="3" w:right="22"/>
              <w:rPr>
                <w:sz w:val="18"/>
              </w:rPr>
            </w:pPr>
            <w:r>
              <w:rPr>
                <w:sz w:val="18"/>
              </w:rPr>
              <w:t>88</w:t>
            </w:r>
            <w:r>
              <w:rPr>
                <w:spacing w:val="2"/>
                <w:sz w:val="18"/>
              </w:rPr>
              <w:t> </w:t>
            </w:r>
            <w:r>
              <w:rPr>
                <w:spacing w:val="-2"/>
                <w:sz w:val="18"/>
              </w:rPr>
              <w:t>(51.2)</w:t>
            </w:r>
          </w:p>
        </w:tc>
      </w:tr>
      <w:tr>
        <w:trPr>
          <w:trHeight w:val="208" w:hRule="atLeast"/>
        </w:trPr>
        <w:tc>
          <w:tcPr>
            <w:tcW w:w="1022" w:type="dxa"/>
            <w:tcBorders>
              <w:bottom w:val="single" w:sz="12" w:space="0" w:color="000000"/>
            </w:tcBorders>
          </w:tcPr>
          <w:p>
            <w:pPr>
              <w:pStyle w:val="TableParagraph"/>
              <w:jc w:val="left"/>
              <w:rPr>
                <w:sz w:val="14"/>
              </w:rPr>
            </w:pPr>
          </w:p>
        </w:tc>
        <w:tc>
          <w:tcPr>
            <w:tcW w:w="828" w:type="dxa"/>
            <w:tcBorders>
              <w:top w:val="single" w:sz="4" w:space="0" w:color="000000"/>
              <w:bottom w:val="single" w:sz="12" w:space="0" w:color="000000"/>
            </w:tcBorders>
          </w:tcPr>
          <w:p>
            <w:pPr>
              <w:pStyle w:val="TableParagraph"/>
              <w:spacing w:line="188" w:lineRule="exact"/>
              <w:ind w:left="4" w:right="17"/>
              <w:rPr>
                <w:sz w:val="18"/>
              </w:rPr>
            </w:pPr>
            <w:r>
              <w:rPr>
                <w:sz w:val="18"/>
              </w:rPr>
              <w:t>P-</w:t>
            </w:r>
            <w:r>
              <w:rPr>
                <w:spacing w:val="-2"/>
                <w:sz w:val="18"/>
              </w:rPr>
              <w:t>value</w:t>
            </w:r>
          </w:p>
        </w:tc>
        <w:tc>
          <w:tcPr>
            <w:tcW w:w="1062" w:type="dxa"/>
            <w:tcBorders>
              <w:top w:val="single" w:sz="4" w:space="0" w:color="000000"/>
              <w:bottom w:val="single" w:sz="12" w:space="0" w:color="000000"/>
            </w:tcBorders>
          </w:tcPr>
          <w:p>
            <w:pPr>
              <w:pStyle w:val="TableParagraph"/>
              <w:spacing w:line="188" w:lineRule="exact"/>
              <w:ind w:right="18"/>
              <w:rPr>
                <w:sz w:val="18"/>
              </w:rPr>
            </w:pPr>
            <w:r>
              <w:rPr>
                <w:spacing w:val="-2"/>
                <w:sz w:val="18"/>
              </w:rPr>
              <w:t>&lt;0.001</w:t>
            </w:r>
          </w:p>
        </w:tc>
        <w:tc>
          <w:tcPr>
            <w:tcW w:w="1098" w:type="dxa"/>
            <w:tcBorders>
              <w:top w:val="single" w:sz="4" w:space="0" w:color="000000"/>
              <w:bottom w:val="single" w:sz="12" w:space="0" w:color="000000"/>
            </w:tcBorders>
          </w:tcPr>
          <w:p>
            <w:pPr>
              <w:pStyle w:val="TableParagraph"/>
              <w:spacing w:line="188" w:lineRule="exact"/>
              <w:ind w:left="63" w:right="83"/>
              <w:rPr>
                <w:sz w:val="18"/>
              </w:rPr>
            </w:pPr>
            <w:r>
              <w:rPr>
                <w:spacing w:val="-4"/>
                <w:sz w:val="18"/>
              </w:rPr>
              <w:t>0.03</w:t>
            </w:r>
          </w:p>
        </w:tc>
        <w:tc>
          <w:tcPr>
            <w:tcW w:w="1061" w:type="dxa"/>
            <w:tcBorders>
              <w:top w:val="single" w:sz="4" w:space="0" w:color="000000"/>
              <w:bottom w:val="single" w:sz="12" w:space="0" w:color="000000"/>
            </w:tcBorders>
          </w:tcPr>
          <w:p>
            <w:pPr>
              <w:pStyle w:val="TableParagraph"/>
              <w:spacing w:line="188" w:lineRule="exact"/>
              <w:ind w:left="114" w:right="131"/>
              <w:rPr>
                <w:sz w:val="18"/>
              </w:rPr>
            </w:pPr>
            <w:r>
              <w:rPr>
                <w:spacing w:val="-2"/>
                <w:sz w:val="18"/>
              </w:rPr>
              <w:t>&lt;0.001</w:t>
            </w:r>
          </w:p>
        </w:tc>
        <w:tc>
          <w:tcPr>
            <w:tcW w:w="1071" w:type="dxa"/>
            <w:tcBorders>
              <w:top w:val="single" w:sz="4" w:space="0" w:color="000000"/>
              <w:bottom w:val="single" w:sz="12" w:space="0" w:color="000000"/>
            </w:tcBorders>
          </w:tcPr>
          <w:p>
            <w:pPr>
              <w:pStyle w:val="TableParagraph"/>
              <w:spacing w:line="188" w:lineRule="exact"/>
              <w:ind w:left="13" w:right="7"/>
              <w:rPr>
                <w:sz w:val="18"/>
              </w:rPr>
            </w:pPr>
            <w:r>
              <w:rPr>
                <w:spacing w:val="-4"/>
                <w:sz w:val="18"/>
              </w:rPr>
              <w:t>0.12</w:t>
            </w:r>
          </w:p>
        </w:tc>
        <w:tc>
          <w:tcPr>
            <w:tcW w:w="1087" w:type="dxa"/>
            <w:tcBorders>
              <w:top w:val="single" w:sz="4" w:space="0" w:color="000000"/>
              <w:bottom w:val="single" w:sz="12" w:space="0" w:color="000000"/>
            </w:tcBorders>
          </w:tcPr>
          <w:p>
            <w:pPr>
              <w:pStyle w:val="TableParagraph"/>
              <w:spacing w:line="188" w:lineRule="exact"/>
              <w:ind w:left="12" w:right="1"/>
              <w:rPr>
                <w:sz w:val="18"/>
              </w:rPr>
            </w:pPr>
            <w:r>
              <w:rPr>
                <w:spacing w:val="-2"/>
                <w:sz w:val="18"/>
              </w:rPr>
              <w:t>0.001</w:t>
            </w:r>
          </w:p>
        </w:tc>
        <w:tc>
          <w:tcPr>
            <w:tcW w:w="1287" w:type="dxa"/>
            <w:tcBorders>
              <w:top w:val="single" w:sz="4" w:space="0" w:color="000000"/>
              <w:bottom w:val="single" w:sz="12" w:space="0" w:color="000000"/>
            </w:tcBorders>
          </w:tcPr>
          <w:p>
            <w:pPr>
              <w:pStyle w:val="TableParagraph"/>
              <w:spacing w:line="188" w:lineRule="exact"/>
              <w:ind w:right="18"/>
              <w:rPr>
                <w:sz w:val="18"/>
              </w:rPr>
            </w:pPr>
            <w:r>
              <w:rPr>
                <w:spacing w:val="-2"/>
                <w:sz w:val="18"/>
              </w:rPr>
              <w:t>0.125</w:t>
            </w:r>
          </w:p>
        </w:tc>
        <w:tc>
          <w:tcPr>
            <w:tcW w:w="1144" w:type="dxa"/>
            <w:tcBorders>
              <w:top w:val="single" w:sz="4" w:space="0" w:color="000000"/>
              <w:bottom w:val="single" w:sz="12" w:space="0" w:color="000000"/>
            </w:tcBorders>
          </w:tcPr>
          <w:p>
            <w:pPr>
              <w:pStyle w:val="TableParagraph"/>
              <w:spacing w:line="188" w:lineRule="exact"/>
              <w:ind w:right="22"/>
              <w:rPr>
                <w:sz w:val="18"/>
              </w:rPr>
            </w:pPr>
            <w:r>
              <w:rPr>
                <w:spacing w:val="-4"/>
                <w:sz w:val="18"/>
              </w:rPr>
              <w:t>0.07</w:t>
            </w:r>
          </w:p>
        </w:tc>
      </w:tr>
    </w:tbl>
    <w:p>
      <w:pPr>
        <w:pStyle w:val="BodyText"/>
        <w:spacing w:before="10"/>
        <w:ind w:left="240"/>
      </w:pPr>
      <w:r>
        <w:rPr/>
        <w:t>NI=not</w:t>
      </w:r>
      <w:r>
        <w:rPr>
          <w:spacing w:val="-4"/>
        </w:rPr>
        <w:t> </w:t>
      </w:r>
      <w:r>
        <w:rPr/>
        <w:t>at</w:t>
      </w:r>
      <w:r>
        <w:rPr>
          <w:spacing w:val="-6"/>
        </w:rPr>
        <w:t> </w:t>
      </w:r>
      <w:r>
        <w:rPr/>
        <w:t>all</w:t>
      </w:r>
      <w:r>
        <w:rPr>
          <w:spacing w:val="-4"/>
        </w:rPr>
        <w:t> </w:t>
      </w:r>
      <w:r>
        <w:rPr/>
        <w:t>important,</w:t>
      </w:r>
      <w:r>
        <w:rPr>
          <w:spacing w:val="-4"/>
        </w:rPr>
        <w:t> </w:t>
      </w:r>
      <w:r>
        <w:rPr/>
        <w:t>SI=somewhat</w:t>
      </w:r>
      <w:r>
        <w:rPr>
          <w:spacing w:val="-4"/>
        </w:rPr>
        <w:t> </w:t>
      </w:r>
      <w:r>
        <w:rPr/>
        <w:t>important,</w:t>
      </w:r>
      <w:r>
        <w:rPr>
          <w:spacing w:val="-7"/>
        </w:rPr>
        <w:t> </w:t>
      </w:r>
      <w:r>
        <w:rPr/>
        <w:t>VI=very</w:t>
      </w:r>
      <w:r>
        <w:rPr>
          <w:spacing w:val="-7"/>
        </w:rPr>
        <w:t> </w:t>
      </w:r>
      <w:r>
        <w:rPr>
          <w:spacing w:val="-2"/>
        </w:rPr>
        <w:t>important</w:t>
      </w:r>
    </w:p>
    <w:p>
      <w:pPr>
        <w:pStyle w:val="BodyText"/>
        <w:spacing w:before="10"/>
        <w:rPr>
          <w:sz w:val="13"/>
        </w:rPr>
      </w:pPr>
    </w:p>
    <w:p>
      <w:pPr>
        <w:spacing w:after="0"/>
        <w:rPr>
          <w:sz w:val="13"/>
        </w:rPr>
        <w:sectPr>
          <w:pgSz w:w="12240" w:h="15840"/>
          <w:pgMar w:header="699" w:footer="1070" w:top="1340" w:bottom="1260" w:left="1200" w:right="880"/>
        </w:sectPr>
      </w:pPr>
    </w:p>
    <w:p>
      <w:pPr>
        <w:pStyle w:val="Heading2"/>
        <w:spacing w:line="251" w:lineRule="exact" w:before="97"/>
        <w:ind w:left="295"/>
        <w:jc w:val="both"/>
      </w:pPr>
      <w:r>
        <w:rPr/>
        <w:t>Location</w:t>
      </w:r>
      <w:r>
        <w:rPr>
          <w:spacing w:val="-3"/>
        </w:rPr>
        <w:t> </w:t>
      </w:r>
      <w:r>
        <w:rPr/>
        <w:t>and</w:t>
      </w:r>
      <w:r>
        <w:rPr>
          <w:spacing w:val="-2"/>
        </w:rPr>
        <w:t> Attitude</w:t>
      </w:r>
    </w:p>
    <w:p>
      <w:pPr>
        <w:pStyle w:val="BodyText"/>
        <w:ind w:left="240" w:right="40"/>
        <w:jc w:val="both"/>
        <w:rPr>
          <w:i/>
        </w:rPr>
      </w:pPr>
      <w:r>
        <w:rPr/>
        <w:t>There was a difference between locations on attitude toward skin cancer. A T-test on the composite attitude variable showed that there was a statistically significant difference, assuming equal variance, between these two student</w:t>
      </w:r>
      <w:r>
        <w:rPr>
          <w:spacing w:val="9"/>
        </w:rPr>
        <w:t> </w:t>
      </w:r>
      <w:r>
        <w:rPr/>
        <w:t>groups</w:t>
      </w:r>
      <w:r>
        <w:rPr>
          <w:spacing w:val="9"/>
        </w:rPr>
        <w:t> </w:t>
      </w:r>
      <w:r>
        <w:rPr/>
        <w:t>on</w:t>
      </w:r>
      <w:r>
        <w:rPr>
          <w:spacing w:val="10"/>
        </w:rPr>
        <w:t> </w:t>
      </w:r>
      <w:r>
        <w:rPr/>
        <w:t>attitude</w:t>
      </w:r>
      <w:r>
        <w:rPr>
          <w:spacing w:val="9"/>
        </w:rPr>
        <w:t> </w:t>
      </w:r>
      <w:r>
        <w:rPr/>
        <w:t>toward</w:t>
      </w:r>
      <w:r>
        <w:rPr>
          <w:spacing w:val="9"/>
        </w:rPr>
        <w:t> </w:t>
      </w:r>
      <w:r>
        <w:rPr/>
        <w:t>skin</w:t>
      </w:r>
      <w:r>
        <w:rPr>
          <w:spacing w:val="9"/>
        </w:rPr>
        <w:t> </w:t>
      </w:r>
      <w:r>
        <w:rPr/>
        <w:t>cancer</w:t>
      </w:r>
      <w:r>
        <w:rPr>
          <w:spacing w:val="10"/>
        </w:rPr>
        <w:t> </w:t>
      </w:r>
      <w:r>
        <w:rPr>
          <w:spacing w:val="-5"/>
        </w:rPr>
        <w:t>(</w:t>
      </w:r>
      <w:r>
        <w:rPr>
          <w:i/>
          <w:spacing w:val="-5"/>
        </w:rPr>
        <w:t>p</w:t>
      </w:r>
    </w:p>
    <w:p>
      <w:pPr>
        <w:pStyle w:val="BodyText"/>
        <w:ind w:left="240" w:right="38"/>
        <w:jc w:val="both"/>
      </w:pPr>
      <w:r>
        <w:rPr/>
        <w:t>&lt; 0.001). In the questionnaire, two different types of attitudes toward skin cancer were probed. First, the questionnaire surveyed the attitude towards the possibility of being diagnosed with skin cancer. Maryland students were</w:t>
      </w:r>
      <w:r>
        <w:rPr>
          <w:spacing w:val="78"/>
          <w:w w:val="150"/>
        </w:rPr>
        <w:t> </w:t>
      </w:r>
      <w:r>
        <w:rPr/>
        <w:t>more</w:t>
      </w:r>
      <w:r>
        <w:rPr>
          <w:spacing w:val="76"/>
          <w:w w:val="150"/>
        </w:rPr>
        <w:t> </w:t>
      </w:r>
      <w:r>
        <w:rPr/>
        <w:t>concerned</w:t>
      </w:r>
      <w:r>
        <w:rPr>
          <w:spacing w:val="75"/>
          <w:w w:val="150"/>
        </w:rPr>
        <w:t> </w:t>
      </w:r>
      <w:r>
        <w:rPr/>
        <w:t>that</w:t>
      </w:r>
      <w:r>
        <w:rPr>
          <w:spacing w:val="76"/>
          <w:w w:val="150"/>
        </w:rPr>
        <w:t> </w:t>
      </w:r>
      <w:r>
        <w:rPr/>
        <w:t>exposure</w:t>
      </w:r>
      <w:r>
        <w:rPr>
          <w:spacing w:val="76"/>
          <w:w w:val="150"/>
        </w:rPr>
        <w:t> </w:t>
      </w:r>
      <w:r>
        <w:rPr/>
        <w:t>to</w:t>
      </w:r>
      <w:r>
        <w:rPr>
          <w:spacing w:val="76"/>
          <w:w w:val="150"/>
        </w:rPr>
        <w:t> </w:t>
      </w:r>
      <w:r>
        <w:rPr>
          <w:spacing w:val="-5"/>
        </w:rPr>
        <w:t>the</w:t>
      </w:r>
    </w:p>
    <w:p>
      <w:pPr>
        <w:pStyle w:val="BodyText"/>
        <w:spacing w:before="91"/>
        <w:ind w:left="239" w:right="554"/>
        <w:jc w:val="both"/>
      </w:pPr>
      <w:r>
        <w:rPr/>
        <w:br w:type="column"/>
      </w:r>
      <w:r>
        <w:rPr/>
        <w:t>sun/UV may give them skin cancer as compared to California students (</w:t>
      </w:r>
      <w:r>
        <w:rPr>
          <w:i/>
        </w:rPr>
        <w:t>p </w:t>
      </w:r>
      <w:r>
        <w:rPr/>
        <w:t>= 0.003). In addition, Maryland students were more worried about the possibility of skin cancer as compared to California students (</w:t>
      </w:r>
      <w:r>
        <w:rPr>
          <w:i/>
        </w:rPr>
        <w:t>p </w:t>
      </w:r>
      <w:r>
        <w:rPr/>
        <w:t>&lt; 0.001) (Table 3). Second, the questionnaire probed the attitude towards living with skin cancer. When asked whether getting skin cancer would severely affect their lives, California students were more concerned about the effects of skin cancer on their personal lives as compared to Maryland students (</w:t>
      </w:r>
      <w:r>
        <w:rPr>
          <w:i/>
        </w:rPr>
        <w:t>p </w:t>
      </w:r>
      <w:r>
        <w:rPr/>
        <w:t>= 0.041).</w:t>
      </w:r>
    </w:p>
    <w:p>
      <w:pPr>
        <w:spacing w:after="0"/>
        <w:jc w:val="both"/>
        <w:sectPr>
          <w:type w:val="continuous"/>
          <w:pgSz w:w="12240" w:h="15840"/>
          <w:pgMar w:header="699" w:footer="1070" w:top="1340" w:bottom="1260" w:left="1200" w:right="880"/>
          <w:cols w:num="2" w:equalWidth="0">
            <w:col w:w="4606" w:space="434"/>
            <w:col w:w="5120"/>
          </w:cols>
        </w:sectPr>
      </w:pPr>
    </w:p>
    <w:p>
      <w:pPr>
        <w:pStyle w:val="BodyText"/>
      </w:pPr>
    </w:p>
    <w:p>
      <w:pPr>
        <w:pStyle w:val="Heading2"/>
        <w:spacing w:before="1"/>
        <w:ind w:left="67" w:right="384"/>
        <w:jc w:val="center"/>
      </w:pPr>
      <w:r>
        <w:rPr/>
        <w:t>Table</w:t>
      </w:r>
      <w:r>
        <w:rPr>
          <w:spacing w:val="-1"/>
        </w:rPr>
        <w:t> </w:t>
      </w:r>
      <w:r>
        <w:rPr>
          <w:spacing w:val="-10"/>
        </w:rPr>
        <w:t>3</w:t>
      </w:r>
    </w:p>
    <w:p>
      <w:pPr>
        <w:pStyle w:val="BodyText"/>
        <w:rPr>
          <w:b/>
        </w:rPr>
      </w:pPr>
    </w:p>
    <w:p>
      <w:pPr>
        <w:spacing w:before="0"/>
        <w:ind w:left="62" w:right="384" w:firstLine="0"/>
        <w:jc w:val="center"/>
        <w:rPr>
          <w:b/>
          <w:sz w:val="22"/>
        </w:rPr>
      </w:pPr>
      <w:r>
        <w:rPr>
          <w:b/>
          <w:sz w:val="22"/>
        </w:rPr>
        <w:t>Knowledge</w:t>
      </w:r>
      <w:r>
        <w:rPr>
          <w:b/>
          <w:spacing w:val="-2"/>
          <w:sz w:val="22"/>
        </w:rPr>
        <w:t> </w:t>
      </w:r>
      <w:r>
        <w:rPr>
          <w:b/>
          <w:sz w:val="22"/>
        </w:rPr>
        <w:t>about</w:t>
      </w:r>
      <w:r>
        <w:rPr>
          <w:b/>
          <w:spacing w:val="-1"/>
          <w:sz w:val="22"/>
        </w:rPr>
        <w:t> </w:t>
      </w:r>
      <w:r>
        <w:rPr>
          <w:b/>
          <w:sz w:val="22"/>
        </w:rPr>
        <w:t>UV</w:t>
      </w:r>
      <w:r>
        <w:rPr>
          <w:b/>
          <w:spacing w:val="-3"/>
          <w:sz w:val="22"/>
        </w:rPr>
        <w:t> </w:t>
      </w:r>
      <w:r>
        <w:rPr>
          <w:b/>
          <w:sz w:val="22"/>
        </w:rPr>
        <w:t>rays,</w:t>
      </w:r>
      <w:r>
        <w:rPr>
          <w:b/>
          <w:spacing w:val="-2"/>
          <w:sz w:val="22"/>
        </w:rPr>
        <w:t> </w:t>
      </w:r>
      <w:r>
        <w:rPr>
          <w:b/>
          <w:sz w:val="22"/>
        </w:rPr>
        <w:t>Attitude</w:t>
      </w:r>
      <w:r>
        <w:rPr>
          <w:b/>
          <w:spacing w:val="-2"/>
          <w:sz w:val="22"/>
        </w:rPr>
        <w:t> </w:t>
      </w:r>
      <w:r>
        <w:rPr>
          <w:b/>
          <w:sz w:val="22"/>
        </w:rPr>
        <w:t>about</w:t>
      </w:r>
      <w:r>
        <w:rPr>
          <w:b/>
          <w:spacing w:val="-4"/>
          <w:sz w:val="22"/>
        </w:rPr>
        <w:t> </w:t>
      </w:r>
      <w:r>
        <w:rPr>
          <w:b/>
          <w:sz w:val="22"/>
        </w:rPr>
        <w:t>Skin</w:t>
      </w:r>
      <w:r>
        <w:rPr>
          <w:b/>
          <w:spacing w:val="-3"/>
          <w:sz w:val="22"/>
        </w:rPr>
        <w:t> </w:t>
      </w:r>
      <w:r>
        <w:rPr>
          <w:b/>
          <w:sz w:val="22"/>
        </w:rPr>
        <w:t>Cancer,</w:t>
      </w:r>
      <w:r>
        <w:rPr>
          <w:b/>
          <w:spacing w:val="-2"/>
          <w:sz w:val="22"/>
        </w:rPr>
        <w:t> </w:t>
      </w:r>
      <w:r>
        <w:rPr>
          <w:b/>
          <w:sz w:val="22"/>
        </w:rPr>
        <w:t>and</w:t>
      </w:r>
      <w:r>
        <w:rPr>
          <w:b/>
          <w:spacing w:val="-5"/>
          <w:sz w:val="22"/>
        </w:rPr>
        <w:t> </w:t>
      </w:r>
      <w:r>
        <w:rPr>
          <w:b/>
          <w:sz w:val="22"/>
        </w:rPr>
        <w:t>Frequency</w:t>
      </w:r>
      <w:r>
        <w:rPr>
          <w:b/>
          <w:spacing w:val="-2"/>
          <w:sz w:val="22"/>
        </w:rPr>
        <w:t> </w:t>
      </w:r>
      <w:r>
        <w:rPr>
          <w:b/>
          <w:sz w:val="22"/>
        </w:rPr>
        <w:t>in</w:t>
      </w:r>
      <w:r>
        <w:rPr>
          <w:b/>
          <w:spacing w:val="-5"/>
          <w:sz w:val="22"/>
        </w:rPr>
        <w:t> </w:t>
      </w:r>
      <w:r>
        <w:rPr>
          <w:b/>
          <w:sz w:val="22"/>
        </w:rPr>
        <w:t>the</w:t>
      </w:r>
      <w:r>
        <w:rPr>
          <w:b/>
          <w:spacing w:val="-2"/>
          <w:sz w:val="22"/>
        </w:rPr>
        <w:t> </w:t>
      </w:r>
      <w:r>
        <w:rPr>
          <w:b/>
          <w:sz w:val="22"/>
        </w:rPr>
        <w:t>Sun,</w:t>
      </w:r>
      <w:r>
        <w:rPr>
          <w:b/>
          <w:spacing w:val="-2"/>
          <w:sz w:val="22"/>
        </w:rPr>
        <w:t> </w:t>
      </w:r>
      <w:r>
        <w:rPr>
          <w:b/>
          <w:sz w:val="22"/>
        </w:rPr>
        <w:t>by</w:t>
      </w:r>
      <w:r>
        <w:rPr>
          <w:b/>
          <w:spacing w:val="-2"/>
          <w:sz w:val="22"/>
        </w:rPr>
        <w:t> </w:t>
      </w:r>
      <w:r>
        <w:rPr>
          <w:b/>
          <w:sz w:val="22"/>
        </w:rPr>
        <w:t>Geographic </w:t>
      </w:r>
      <w:r>
        <w:rPr>
          <w:b/>
          <w:spacing w:val="-2"/>
          <w:sz w:val="22"/>
        </w:rPr>
        <w:t>Region</w:t>
      </w:r>
    </w:p>
    <w:p>
      <w:pPr>
        <w:pStyle w:val="BodyText"/>
        <w:spacing w:before="1"/>
        <w:rPr>
          <w:b/>
          <w:sz w:val="20"/>
        </w:rPr>
      </w:pPr>
      <w:r>
        <w:rPr/>
        <mc:AlternateContent>
          <mc:Choice Requires="wps">
            <w:drawing>
              <wp:anchor distT="0" distB="0" distL="0" distR="0" allowOverlap="1" layoutInCell="1" locked="0" behindDoc="1" simplePos="0" relativeHeight="487588352">
                <wp:simplePos x="0" y="0"/>
                <wp:positionH relativeFrom="page">
                  <wp:posOffset>845820</wp:posOffset>
                </wp:positionH>
                <wp:positionV relativeFrom="paragraph">
                  <wp:posOffset>162393</wp:posOffset>
                </wp:positionV>
                <wp:extent cx="6126480" cy="1841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6126480" cy="18415"/>
                        </a:xfrm>
                        <a:custGeom>
                          <a:avLst/>
                          <a:gdLst/>
                          <a:ahLst/>
                          <a:cxnLst/>
                          <a:rect l="l" t="t" r="r" b="b"/>
                          <a:pathLst>
                            <a:path w="6126480" h="18415">
                              <a:moveTo>
                                <a:pt x="6126480" y="0"/>
                              </a:moveTo>
                              <a:lnTo>
                                <a:pt x="6126480" y="0"/>
                              </a:lnTo>
                              <a:lnTo>
                                <a:pt x="0" y="0"/>
                              </a:lnTo>
                              <a:lnTo>
                                <a:pt x="0" y="18288"/>
                              </a:lnTo>
                              <a:lnTo>
                                <a:pt x="6126480" y="18288"/>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6.600006pt;margin-top:12.786921pt;width:482.400023pt;height:1.44pt;mso-position-horizontal-relative:page;mso-position-vertical-relative:paragraph;z-index:-15728128;mso-wrap-distance-left:0;mso-wrap-distance-right:0" id="docshape4" filled="true" fillcolor="#000000" stroked="false">
                <v:fill type="solid"/>
                <w10:wrap type="topAndBottom"/>
              </v:rect>
            </w:pict>
          </mc:Fallback>
        </mc:AlternateContent>
      </w:r>
    </w:p>
    <w:p>
      <w:pPr>
        <w:pStyle w:val="BodyText"/>
        <w:spacing w:before="10"/>
        <w:rPr>
          <w:b/>
          <w:sz w:val="19"/>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22"/>
        <w:gridCol w:w="940"/>
        <w:gridCol w:w="1358"/>
        <w:gridCol w:w="1761"/>
        <w:gridCol w:w="1328"/>
        <w:gridCol w:w="1645"/>
        <w:gridCol w:w="606"/>
        <w:gridCol w:w="1002"/>
      </w:tblGrid>
      <w:tr>
        <w:trPr>
          <w:trHeight w:val="1064" w:hRule="atLeast"/>
        </w:trPr>
        <w:tc>
          <w:tcPr>
            <w:tcW w:w="1022" w:type="dxa"/>
          </w:tcPr>
          <w:p>
            <w:pPr>
              <w:pStyle w:val="TableParagraph"/>
              <w:jc w:val="left"/>
              <w:rPr>
                <w:sz w:val="20"/>
              </w:rPr>
            </w:pPr>
          </w:p>
        </w:tc>
        <w:tc>
          <w:tcPr>
            <w:tcW w:w="940" w:type="dxa"/>
            <w:tcBorders>
              <w:bottom w:val="single" w:sz="4" w:space="0" w:color="000000"/>
            </w:tcBorders>
          </w:tcPr>
          <w:p>
            <w:pPr>
              <w:pStyle w:val="TableParagraph"/>
              <w:jc w:val="left"/>
              <w:rPr>
                <w:sz w:val="20"/>
              </w:rPr>
            </w:pPr>
          </w:p>
        </w:tc>
        <w:tc>
          <w:tcPr>
            <w:tcW w:w="1358" w:type="dxa"/>
            <w:tcBorders>
              <w:bottom w:val="single" w:sz="4" w:space="0" w:color="000000"/>
            </w:tcBorders>
          </w:tcPr>
          <w:p>
            <w:pPr>
              <w:pStyle w:val="TableParagraph"/>
              <w:ind w:left="1" w:right="88"/>
              <w:rPr>
                <w:sz w:val="18"/>
              </w:rPr>
            </w:pPr>
            <w:r>
              <w:rPr>
                <w:sz w:val="18"/>
              </w:rPr>
              <w:t>Exposure</w:t>
            </w:r>
            <w:r>
              <w:rPr>
                <w:spacing w:val="-12"/>
                <w:sz w:val="18"/>
              </w:rPr>
              <w:t> </w:t>
            </w:r>
            <w:r>
              <w:rPr>
                <w:sz w:val="18"/>
              </w:rPr>
              <w:t>to</w:t>
            </w:r>
            <w:r>
              <w:rPr>
                <w:spacing w:val="-11"/>
                <w:sz w:val="18"/>
              </w:rPr>
              <w:t> </w:t>
            </w:r>
            <w:r>
              <w:rPr>
                <w:sz w:val="18"/>
              </w:rPr>
              <w:t>the sun (UV) rays may</w:t>
            </w:r>
            <w:r>
              <w:rPr>
                <w:spacing w:val="-4"/>
                <w:sz w:val="18"/>
              </w:rPr>
              <w:t> </w:t>
            </w:r>
            <w:r>
              <w:rPr>
                <w:sz w:val="18"/>
              </w:rPr>
              <w:t>cause</w:t>
            </w:r>
            <w:r>
              <w:rPr>
                <w:spacing w:val="-1"/>
                <w:sz w:val="18"/>
              </w:rPr>
              <w:t> </w:t>
            </w:r>
            <w:r>
              <w:rPr>
                <w:sz w:val="18"/>
              </w:rPr>
              <w:t>skin </w:t>
            </w:r>
            <w:r>
              <w:rPr>
                <w:spacing w:val="-2"/>
                <w:sz w:val="18"/>
              </w:rPr>
              <w:t>cancer</w:t>
            </w:r>
          </w:p>
        </w:tc>
        <w:tc>
          <w:tcPr>
            <w:tcW w:w="1761" w:type="dxa"/>
            <w:tcBorders>
              <w:bottom w:val="single" w:sz="4" w:space="0" w:color="000000"/>
            </w:tcBorders>
          </w:tcPr>
          <w:p>
            <w:pPr>
              <w:pStyle w:val="TableParagraph"/>
              <w:ind w:left="157" w:right="124"/>
              <w:rPr>
                <w:sz w:val="18"/>
              </w:rPr>
            </w:pPr>
            <w:r>
              <w:rPr>
                <w:sz w:val="18"/>
              </w:rPr>
              <w:t>Concerned</w:t>
            </w:r>
            <w:r>
              <w:rPr>
                <w:spacing w:val="-12"/>
                <w:sz w:val="18"/>
              </w:rPr>
              <w:t> </w:t>
            </w:r>
            <w:r>
              <w:rPr>
                <w:sz w:val="18"/>
              </w:rPr>
              <w:t>exposure to the sun/UV rays may give skin</w:t>
            </w:r>
            <w:r>
              <w:rPr>
                <w:spacing w:val="40"/>
                <w:sz w:val="18"/>
              </w:rPr>
              <w:t> </w:t>
            </w:r>
            <w:r>
              <w:rPr>
                <w:spacing w:val="-2"/>
                <w:sz w:val="18"/>
              </w:rPr>
              <w:t>cancer</w:t>
            </w:r>
          </w:p>
        </w:tc>
        <w:tc>
          <w:tcPr>
            <w:tcW w:w="1328" w:type="dxa"/>
            <w:tcBorders>
              <w:bottom w:val="single" w:sz="4" w:space="0" w:color="000000"/>
            </w:tcBorders>
          </w:tcPr>
          <w:p>
            <w:pPr>
              <w:pStyle w:val="TableParagraph"/>
              <w:spacing w:before="96"/>
              <w:ind w:left="160" w:right="122" w:hanging="34"/>
              <w:jc w:val="both"/>
              <w:rPr>
                <w:sz w:val="18"/>
              </w:rPr>
            </w:pPr>
            <w:r>
              <w:rPr>
                <w:sz w:val="18"/>
              </w:rPr>
              <w:t>The</w:t>
            </w:r>
            <w:r>
              <w:rPr>
                <w:spacing w:val="-12"/>
                <w:sz w:val="18"/>
              </w:rPr>
              <w:t> </w:t>
            </w:r>
            <w:r>
              <w:rPr>
                <w:sz w:val="18"/>
              </w:rPr>
              <w:t>possibility of</w:t>
            </w:r>
            <w:r>
              <w:rPr>
                <w:spacing w:val="-4"/>
                <w:sz w:val="18"/>
              </w:rPr>
              <w:t> </w:t>
            </w:r>
            <w:r>
              <w:rPr>
                <w:sz w:val="18"/>
              </w:rPr>
              <w:t>skin</w:t>
            </w:r>
            <w:r>
              <w:rPr>
                <w:spacing w:val="-1"/>
                <w:sz w:val="18"/>
              </w:rPr>
              <w:t> </w:t>
            </w:r>
            <w:r>
              <w:rPr>
                <w:sz w:val="18"/>
              </w:rPr>
              <w:t>cancer worries me</w:t>
            </w:r>
          </w:p>
        </w:tc>
        <w:tc>
          <w:tcPr>
            <w:tcW w:w="1645" w:type="dxa"/>
            <w:tcBorders>
              <w:bottom w:val="single" w:sz="4" w:space="0" w:color="000000"/>
            </w:tcBorders>
          </w:tcPr>
          <w:p>
            <w:pPr>
              <w:pStyle w:val="TableParagraph"/>
              <w:spacing w:before="96"/>
              <w:ind w:left="90" w:right="90"/>
              <w:rPr>
                <w:sz w:val="18"/>
              </w:rPr>
            </w:pPr>
            <w:r>
              <w:rPr>
                <w:sz w:val="18"/>
              </w:rPr>
              <w:t>Getting</w:t>
            </w:r>
            <w:r>
              <w:rPr>
                <w:spacing w:val="-12"/>
                <w:sz w:val="18"/>
              </w:rPr>
              <w:t> </w:t>
            </w:r>
            <w:r>
              <w:rPr>
                <w:sz w:val="18"/>
              </w:rPr>
              <w:t>skin</w:t>
            </w:r>
            <w:r>
              <w:rPr>
                <w:spacing w:val="-11"/>
                <w:sz w:val="18"/>
              </w:rPr>
              <w:t> </w:t>
            </w:r>
            <w:r>
              <w:rPr>
                <w:sz w:val="18"/>
              </w:rPr>
              <w:t>cancer would severely affect my life</w:t>
            </w:r>
          </w:p>
        </w:tc>
        <w:tc>
          <w:tcPr>
            <w:tcW w:w="1608" w:type="dxa"/>
            <w:gridSpan w:val="2"/>
            <w:tcBorders>
              <w:bottom w:val="single" w:sz="4" w:space="0" w:color="000000"/>
            </w:tcBorders>
          </w:tcPr>
          <w:p>
            <w:pPr>
              <w:pStyle w:val="TableParagraph"/>
              <w:spacing w:before="97"/>
              <w:jc w:val="left"/>
              <w:rPr>
                <w:b/>
                <w:sz w:val="18"/>
              </w:rPr>
            </w:pPr>
          </w:p>
          <w:p>
            <w:pPr>
              <w:pStyle w:val="TableParagraph"/>
              <w:ind w:left="408" w:right="136" w:hanging="284"/>
              <w:jc w:val="left"/>
              <w:rPr>
                <w:sz w:val="18"/>
              </w:rPr>
            </w:pPr>
            <w:r>
              <w:rPr>
                <w:sz w:val="18"/>
              </w:rPr>
              <w:t>How</w:t>
            </w:r>
            <w:r>
              <w:rPr>
                <w:spacing w:val="-12"/>
                <w:sz w:val="18"/>
              </w:rPr>
              <w:t> </w:t>
            </w:r>
            <w:r>
              <w:rPr>
                <w:sz w:val="18"/>
              </w:rPr>
              <w:t>often</w:t>
            </w:r>
            <w:r>
              <w:rPr>
                <w:spacing w:val="-11"/>
                <w:sz w:val="18"/>
              </w:rPr>
              <w:t> </w:t>
            </w:r>
            <w:r>
              <w:rPr>
                <w:sz w:val="18"/>
              </w:rPr>
              <w:t>are</w:t>
            </w:r>
            <w:r>
              <w:rPr>
                <w:spacing w:val="-11"/>
                <w:sz w:val="18"/>
              </w:rPr>
              <w:t> </w:t>
            </w:r>
            <w:r>
              <w:rPr>
                <w:sz w:val="18"/>
              </w:rPr>
              <w:t>you in the sun?</w:t>
            </w:r>
          </w:p>
        </w:tc>
      </w:tr>
      <w:tr>
        <w:trPr>
          <w:trHeight w:val="200" w:hRule="atLeast"/>
        </w:trPr>
        <w:tc>
          <w:tcPr>
            <w:tcW w:w="1022" w:type="dxa"/>
            <w:vMerge w:val="restart"/>
            <w:tcBorders>
              <w:bottom w:val="single" w:sz="4" w:space="0" w:color="000000"/>
            </w:tcBorders>
          </w:tcPr>
          <w:p>
            <w:pPr>
              <w:pStyle w:val="TableParagraph"/>
              <w:spacing w:before="98"/>
              <w:ind w:left="338" w:hanging="185"/>
              <w:jc w:val="left"/>
              <w:rPr>
                <w:sz w:val="18"/>
              </w:rPr>
            </w:pPr>
            <w:r>
              <w:rPr>
                <w:spacing w:val="-2"/>
                <w:sz w:val="18"/>
              </w:rPr>
              <w:t>California </w:t>
            </w:r>
            <w:r>
              <w:rPr>
                <w:spacing w:val="-4"/>
                <w:sz w:val="18"/>
              </w:rPr>
              <w:t>n(%)</w:t>
            </w:r>
          </w:p>
        </w:tc>
        <w:tc>
          <w:tcPr>
            <w:tcW w:w="940" w:type="dxa"/>
            <w:tcBorders>
              <w:top w:val="single" w:sz="4" w:space="0" w:color="000000"/>
            </w:tcBorders>
          </w:tcPr>
          <w:p>
            <w:pPr>
              <w:pStyle w:val="TableParagraph"/>
              <w:spacing w:line="180" w:lineRule="exact"/>
              <w:ind w:right="130"/>
              <w:rPr>
                <w:sz w:val="18"/>
              </w:rPr>
            </w:pPr>
            <w:r>
              <w:rPr>
                <w:spacing w:val="-10"/>
                <w:sz w:val="18"/>
              </w:rPr>
              <w:t>D</w:t>
            </w:r>
          </w:p>
        </w:tc>
        <w:tc>
          <w:tcPr>
            <w:tcW w:w="1358" w:type="dxa"/>
            <w:tcBorders>
              <w:top w:val="single" w:sz="4" w:space="0" w:color="000000"/>
            </w:tcBorders>
          </w:tcPr>
          <w:p>
            <w:pPr>
              <w:pStyle w:val="TableParagraph"/>
              <w:spacing w:line="180" w:lineRule="exact"/>
              <w:ind w:right="388"/>
              <w:jc w:val="right"/>
              <w:rPr>
                <w:sz w:val="18"/>
              </w:rPr>
            </w:pPr>
            <w:r>
              <w:rPr>
                <w:sz w:val="18"/>
              </w:rPr>
              <w:t>33</w:t>
            </w:r>
            <w:r>
              <w:rPr>
                <w:spacing w:val="2"/>
                <w:sz w:val="18"/>
              </w:rPr>
              <w:t> </w:t>
            </w:r>
            <w:r>
              <w:rPr>
                <w:spacing w:val="-2"/>
                <w:sz w:val="18"/>
              </w:rPr>
              <w:t>(18.3)</w:t>
            </w:r>
          </w:p>
        </w:tc>
        <w:tc>
          <w:tcPr>
            <w:tcW w:w="1761" w:type="dxa"/>
            <w:tcBorders>
              <w:top w:val="single" w:sz="4" w:space="0" w:color="000000"/>
            </w:tcBorders>
          </w:tcPr>
          <w:p>
            <w:pPr>
              <w:pStyle w:val="TableParagraph"/>
              <w:spacing w:line="180" w:lineRule="exact"/>
              <w:ind w:left="36" w:right="3"/>
              <w:rPr>
                <w:sz w:val="18"/>
              </w:rPr>
            </w:pPr>
            <w:r>
              <w:rPr>
                <w:sz w:val="18"/>
              </w:rPr>
              <w:t>64</w:t>
            </w:r>
            <w:r>
              <w:rPr>
                <w:spacing w:val="2"/>
                <w:sz w:val="18"/>
              </w:rPr>
              <w:t> </w:t>
            </w:r>
            <w:r>
              <w:rPr>
                <w:spacing w:val="-2"/>
                <w:sz w:val="18"/>
              </w:rPr>
              <w:t>(35.6)</w:t>
            </w:r>
          </w:p>
        </w:tc>
        <w:tc>
          <w:tcPr>
            <w:tcW w:w="1328" w:type="dxa"/>
            <w:tcBorders>
              <w:top w:val="single" w:sz="4" w:space="0" w:color="000000"/>
            </w:tcBorders>
          </w:tcPr>
          <w:p>
            <w:pPr>
              <w:pStyle w:val="TableParagraph"/>
              <w:spacing w:line="180" w:lineRule="exact"/>
              <w:ind w:left="2"/>
              <w:rPr>
                <w:sz w:val="18"/>
              </w:rPr>
            </w:pPr>
            <w:r>
              <w:rPr>
                <w:sz w:val="18"/>
              </w:rPr>
              <w:t>87</w:t>
            </w:r>
            <w:r>
              <w:rPr>
                <w:spacing w:val="2"/>
                <w:sz w:val="18"/>
              </w:rPr>
              <w:t> </w:t>
            </w:r>
            <w:r>
              <w:rPr>
                <w:spacing w:val="-2"/>
                <w:sz w:val="18"/>
              </w:rPr>
              <w:t>(48.3)</w:t>
            </w:r>
          </w:p>
        </w:tc>
        <w:tc>
          <w:tcPr>
            <w:tcW w:w="1645" w:type="dxa"/>
            <w:tcBorders>
              <w:top w:val="single" w:sz="4" w:space="0" w:color="000000"/>
            </w:tcBorders>
          </w:tcPr>
          <w:p>
            <w:pPr>
              <w:pStyle w:val="TableParagraph"/>
              <w:spacing w:line="180" w:lineRule="exact"/>
              <w:ind w:left="95" w:right="90"/>
              <w:rPr>
                <w:sz w:val="18"/>
              </w:rPr>
            </w:pPr>
            <w:r>
              <w:rPr>
                <w:sz w:val="18"/>
              </w:rPr>
              <w:t>20</w:t>
            </w:r>
            <w:r>
              <w:rPr>
                <w:spacing w:val="2"/>
                <w:sz w:val="18"/>
              </w:rPr>
              <w:t> </w:t>
            </w:r>
            <w:r>
              <w:rPr>
                <w:spacing w:val="-2"/>
                <w:sz w:val="18"/>
              </w:rPr>
              <w:t>(11.2)</w:t>
            </w:r>
          </w:p>
        </w:tc>
        <w:tc>
          <w:tcPr>
            <w:tcW w:w="606" w:type="dxa"/>
            <w:tcBorders>
              <w:top w:val="single" w:sz="4" w:space="0" w:color="000000"/>
            </w:tcBorders>
          </w:tcPr>
          <w:p>
            <w:pPr>
              <w:pStyle w:val="TableParagraph"/>
              <w:spacing w:line="180" w:lineRule="exact"/>
              <w:ind w:left="1" w:right="1"/>
              <w:rPr>
                <w:sz w:val="18"/>
              </w:rPr>
            </w:pPr>
            <w:r>
              <w:rPr>
                <w:spacing w:val="-5"/>
                <w:sz w:val="18"/>
              </w:rPr>
              <w:t>NR</w:t>
            </w:r>
          </w:p>
        </w:tc>
        <w:tc>
          <w:tcPr>
            <w:tcW w:w="1002" w:type="dxa"/>
            <w:tcBorders>
              <w:top w:val="single" w:sz="4" w:space="0" w:color="000000"/>
            </w:tcBorders>
          </w:tcPr>
          <w:p>
            <w:pPr>
              <w:pStyle w:val="TableParagraph"/>
              <w:spacing w:line="180" w:lineRule="exact"/>
              <w:ind w:left="10"/>
              <w:rPr>
                <w:sz w:val="18"/>
              </w:rPr>
            </w:pPr>
            <w:r>
              <w:rPr>
                <w:sz w:val="18"/>
              </w:rPr>
              <w:t>18</w:t>
            </w:r>
            <w:r>
              <w:rPr>
                <w:spacing w:val="2"/>
                <w:sz w:val="18"/>
              </w:rPr>
              <w:t> </w:t>
            </w:r>
            <w:r>
              <w:rPr>
                <w:spacing w:val="-2"/>
                <w:sz w:val="18"/>
              </w:rPr>
              <w:t>(10.1)</w:t>
            </w:r>
          </w:p>
        </w:tc>
      </w:tr>
      <w:tr>
        <w:trPr>
          <w:trHeight w:val="196" w:hRule="atLeast"/>
        </w:trPr>
        <w:tc>
          <w:tcPr>
            <w:tcW w:w="1022" w:type="dxa"/>
            <w:vMerge/>
            <w:tcBorders>
              <w:top w:val="nil"/>
              <w:bottom w:val="single" w:sz="4" w:space="0" w:color="000000"/>
            </w:tcBorders>
          </w:tcPr>
          <w:p>
            <w:pPr>
              <w:rPr>
                <w:sz w:val="2"/>
                <w:szCs w:val="2"/>
              </w:rPr>
            </w:pPr>
          </w:p>
        </w:tc>
        <w:tc>
          <w:tcPr>
            <w:tcW w:w="940" w:type="dxa"/>
          </w:tcPr>
          <w:p>
            <w:pPr>
              <w:pStyle w:val="TableParagraph"/>
              <w:spacing w:line="176" w:lineRule="exact"/>
              <w:ind w:right="130"/>
              <w:rPr>
                <w:sz w:val="18"/>
              </w:rPr>
            </w:pPr>
            <w:r>
              <w:rPr>
                <w:spacing w:val="-10"/>
                <w:sz w:val="18"/>
              </w:rPr>
              <w:t>N</w:t>
            </w:r>
          </w:p>
        </w:tc>
        <w:tc>
          <w:tcPr>
            <w:tcW w:w="1358" w:type="dxa"/>
          </w:tcPr>
          <w:p>
            <w:pPr>
              <w:pStyle w:val="TableParagraph"/>
              <w:spacing w:line="176" w:lineRule="exact"/>
              <w:ind w:right="434"/>
              <w:jc w:val="right"/>
              <w:rPr>
                <w:sz w:val="18"/>
              </w:rPr>
            </w:pPr>
            <w:r>
              <w:rPr>
                <w:sz w:val="18"/>
              </w:rPr>
              <w:t>12</w:t>
            </w:r>
            <w:r>
              <w:rPr>
                <w:spacing w:val="2"/>
                <w:sz w:val="18"/>
              </w:rPr>
              <w:t> </w:t>
            </w:r>
            <w:r>
              <w:rPr>
                <w:spacing w:val="-2"/>
                <w:sz w:val="18"/>
              </w:rPr>
              <w:t>(6.7)</w:t>
            </w:r>
          </w:p>
        </w:tc>
        <w:tc>
          <w:tcPr>
            <w:tcW w:w="1761" w:type="dxa"/>
          </w:tcPr>
          <w:p>
            <w:pPr>
              <w:pStyle w:val="TableParagraph"/>
              <w:spacing w:line="176" w:lineRule="exact"/>
              <w:ind w:left="36" w:right="3"/>
              <w:rPr>
                <w:sz w:val="18"/>
              </w:rPr>
            </w:pPr>
            <w:r>
              <w:rPr>
                <w:sz w:val="18"/>
              </w:rPr>
              <w:t>37</w:t>
            </w:r>
            <w:r>
              <w:rPr>
                <w:spacing w:val="2"/>
                <w:sz w:val="18"/>
              </w:rPr>
              <w:t> </w:t>
            </w:r>
            <w:r>
              <w:rPr>
                <w:spacing w:val="-2"/>
                <w:sz w:val="18"/>
              </w:rPr>
              <w:t>(20.6)</w:t>
            </w:r>
          </w:p>
        </w:tc>
        <w:tc>
          <w:tcPr>
            <w:tcW w:w="1328" w:type="dxa"/>
          </w:tcPr>
          <w:p>
            <w:pPr>
              <w:pStyle w:val="TableParagraph"/>
              <w:spacing w:line="176" w:lineRule="exact"/>
              <w:ind w:left="2"/>
              <w:rPr>
                <w:sz w:val="18"/>
              </w:rPr>
            </w:pPr>
            <w:r>
              <w:rPr>
                <w:sz w:val="18"/>
              </w:rPr>
              <w:t>34</w:t>
            </w:r>
            <w:r>
              <w:rPr>
                <w:spacing w:val="2"/>
                <w:sz w:val="18"/>
              </w:rPr>
              <w:t> </w:t>
            </w:r>
            <w:r>
              <w:rPr>
                <w:spacing w:val="-2"/>
                <w:sz w:val="18"/>
              </w:rPr>
              <w:t>(18.9)</w:t>
            </w:r>
          </w:p>
        </w:tc>
        <w:tc>
          <w:tcPr>
            <w:tcW w:w="1645" w:type="dxa"/>
          </w:tcPr>
          <w:p>
            <w:pPr>
              <w:pStyle w:val="TableParagraph"/>
              <w:spacing w:line="176" w:lineRule="exact"/>
              <w:ind w:left="95" w:right="90"/>
              <w:rPr>
                <w:sz w:val="18"/>
              </w:rPr>
            </w:pPr>
            <w:r>
              <w:rPr>
                <w:sz w:val="18"/>
              </w:rPr>
              <w:t>12</w:t>
            </w:r>
            <w:r>
              <w:rPr>
                <w:spacing w:val="2"/>
                <w:sz w:val="18"/>
              </w:rPr>
              <w:t> </w:t>
            </w:r>
            <w:r>
              <w:rPr>
                <w:spacing w:val="-2"/>
                <w:sz w:val="18"/>
              </w:rPr>
              <w:t>(6.7)</w:t>
            </w:r>
          </w:p>
        </w:tc>
        <w:tc>
          <w:tcPr>
            <w:tcW w:w="606" w:type="dxa"/>
          </w:tcPr>
          <w:p>
            <w:pPr>
              <w:pStyle w:val="TableParagraph"/>
              <w:spacing w:line="176" w:lineRule="exact"/>
              <w:ind w:right="1"/>
              <w:rPr>
                <w:sz w:val="18"/>
              </w:rPr>
            </w:pPr>
            <w:r>
              <w:rPr>
                <w:spacing w:val="-10"/>
                <w:sz w:val="18"/>
              </w:rPr>
              <w:t>S</w:t>
            </w:r>
          </w:p>
        </w:tc>
        <w:tc>
          <w:tcPr>
            <w:tcW w:w="1002" w:type="dxa"/>
          </w:tcPr>
          <w:p>
            <w:pPr>
              <w:pStyle w:val="TableParagraph"/>
              <w:spacing w:line="176" w:lineRule="exact"/>
              <w:ind w:left="10"/>
              <w:rPr>
                <w:sz w:val="18"/>
              </w:rPr>
            </w:pPr>
            <w:r>
              <w:rPr>
                <w:sz w:val="18"/>
              </w:rPr>
              <w:t>70</w:t>
            </w:r>
            <w:r>
              <w:rPr>
                <w:spacing w:val="2"/>
                <w:sz w:val="18"/>
              </w:rPr>
              <w:t> </w:t>
            </w:r>
            <w:r>
              <w:rPr>
                <w:spacing w:val="-2"/>
                <w:sz w:val="18"/>
              </w:rPr>
              <w:t>(39.1)</w:t>
            </w:r>
          </w:p>
        </w:tc>
      </w:tr>
      <w:tr>
        <w:trPr>
          <w:trHeight w:val="204" w:hRule="atLeast"/>
        </w:trPr>
        <w:tc>
          <w:tcPr>
            <w:tcW w:w="1022" w:type="dxa"/>
            <w:vMerge/>
            <w:tcBorders>
              <w:top w:val="nil"/>
              <w:bottom w:val="single" w:sz="4" w:space="0" w:color="000000"/>
            </w:tcBorders>
          </w:tcPr>
          <w:p>
            <w:pPr>
              <w:rPr>
                <w:sz w:val="2"/>
                <w:szCs w:val="2"/>
              </w:rPr>
            </w:pPr>
          </w:p>
        </w:tc>
        <w:tc>
          <w:tcPr>
            <w:tcW w:w="940" w:type="dxa"/>
            <w:tcBorders>
              <w:bottom w:val="single" w:sz="4" w:space="0" w:color="000000"/>
            </w:tcBorders>
          </w:tcPr>
          <w:p>
            <w:pPr>
              <w:pStyle w:val="TableParagraph"/>
              <w:spacing w:line="184" w:lineRule="exact"/>
              <w:ind w:right="130"/>
              <w:rPr>
                <w:sz w:val="18"/>
              </w:rPr>
            </w:pPr>
            <w:r>
              <w:rPr>
                <w:spacing w:val="-10"/>
                <w:sz w:val="18"/>
              </w:rPr>
              <w:t>A</w:t>
            </w:r>
          </w:p>
        </w:tc>
        <w:tc>
          <w:tcPr>
            <w:tcW w:w="1358" w:type="dxa"/>
            <w:tcBorders>
              <w:bottom w:val="single" w:sz="4" w:space="0" w:color="000000"/>
            </w:tcBorders>
          </w:tcPr>
          <w:p>
            <w:pPr>
              <w:pStyle w:val="TableParagraph"/>
              <w:spacing w:line="184" w:lineRule="exact"/>
              <w:ind w:right="412"/>
              <w:jc w:val="right"/>
              <w:rPr>
                <w:sz w:val="18"/>
              </w:rPr>
            </w:pPr>
            <w:r>
              <w:rPr>
                <w:sz w:val="18"/>
              </w:rPr>
              <w:t>135</w:t>
            </w:r>
            <w:r>
              <w:rPr>
                <w:spacing w:val="1"/>
                <w:sz w:val="18"/>
              </w:rPr>
              <w:t> </w:t>
            </w:r>
            <w:r>
              <w:rPr>
                <w:spacing w:val="-4"/>
                <w:sz w:val="18"/>
              </w:rPr>
              <w:t>(75)</w:t>
            </w:r>
          </w:p>
        </w:tc>
        <w:tc>
          <w:tcPr>
            <w:tcW w:w="1761" w:type="dxa"/>
            <w:tcBorders>
              <w:bottom w:val="single" w:sz="4" w:space="0" w:color="000000"/>
            </w:tcBorders>
          </w:tcPr>
          <w:p>
            <w:pPr>
              <w:pStyle w:val="TableParagraph"/>
              <w:spacing w:line="184" w:lineRule="exact"/>
              <w:ind w:left="36" w:right="3"/>
              <w:rPr>
                <w:sz w:val="18"/>
              </w:rPr>
            </w:pPr>
            <w:r>
              <w:rPr>
                <w:sz w:val="18"/>
              </w:rPr>
              <w:t>79</w:t>
            </w:r>
            <w:r>
              <w:rPr>
                <w:spacing w:val="2"/>
                <w:sz w:val="18"/>
              </w:rPr>
              <w:t> </w:t>
            </w:r>
            <w:r>
              <w:rPr>
                <w:spacing w:val="-2"/>
                <w:sz w:val="18"/>
              </w:rPr>
              <w:t>(43.9)</w:t>
            </w:r>
          </w:p>
        </w:tc>
        <w:tc>
          <w:tcPr>
            <w:tcW w:w="1328" w:type="dxa"/>
            <w:tcBorders>
              <w:bottom w:val="single" w:sz="4" w:space="0" w:color="000000"/>
            </w:tcBorders>
          </w:tcPr>
          <w:p>
            <w:pPr>
              <w:pStyle w:val="TableParagraph"/>
              <w:spacing w:line="184" w:lineRule="exact"/>
              <w:ind w:left="2"/>
              <w:rPr>
                <w:sz w:val="18"/>
              </w:rPr>
            </w:pPr>
            <w:r>
              <w:rPr>
                <w:sz w:val="18"/>
              </w:rPr>
              <w:t>59</w:t>
            </w:r>
            <w:r>
              <w:rPr>
                <w:spacing w:val="2"/>
                <w:sz w:val="18"/>
              </w:rPr>
              <w:t> </w:t>
            </w:r>
            <w:r>
              <w:rPr>
                <w:spacing w:val="-2"/>
                <w:sz w:val="18"/>
              </w:rPr>
              <w:t>(32.8)</w:t>
            </w:r>
          </w:p>
        </w:tc>
        <w:tc>
          <w:tcPr>
            <w:tcW w:w="1645" w:type="dxa"/>
            <w:tcBorders>
              <w:bottom w:val="single" w:sz="4" w:space="0" w:color="000000"/>
            </w:tcBorders>
          </w:tcPr>
          <w:p>
            <w:pPr>
              <w:pStyle w:val="TableParagraph"/>
              <w:spacing w:line="184" w:lineRule="exact"/>
              <w:ind w:left="93" w:right="90"/>
              <w:rPr>
                <w:sz w:val="18"/>
              </w:rPr>
            </w:pPr>
            <w:r>
              <w:rPr>
                <w:sz w:val="18"/>
              </w:rPr>
              <w:t>147</w:t>
            </w:r>
            <w:r>
              <w:rPr>
                <w:spacing w:val="-1"/>
                <w:sz w:val="18"/>
              </w:rPr>
              <w:t> </w:t>
            </w:r>
            <w:r>
              <w:rPr>
                <w:spacing w:val="-2"/>
                <w:sz w:val="18"/>
              </w:rPr>
              <w:t>(82.1)</w:t>
            </w:r>
          </w:p>
        </w:tc>
        <w:tc>
          <w:tcPr>
            <w:tcW w:w="606" w:type="dxa"/>
            <w:tcBorders>
              <w:bottom w:val="single" w:sz="4" w:space="0" w:color="000000"/>
            </w:tcBorders>
          </w:tcPr>
          <w:p>
            <w:pPr>
              <w:pStyle w:val="TableParagraph"/>
              <w:spacing w:line="184" w:lineRule="exact"/>
              <w:ind w:left="1" w:right="1"/>
              <w:rPr>
                <w:sz w:val="18"/>
              </w:rPr>
            </w:pPr>
            <w:r>
              <w:rPr>
                <w:spacing w:val="-5"/>
                <w:sz w:val="18"/>
              </w:rPr>
              <w:t>OA</w:t>
            </w:r>
          </w:p>
        </w:tc>
        <w:tc>
          <w:tcPr>
            <w:tcW w:w="1002" w:type="dxa"/>
            <w:tcBorders>
              <w:bottom w:val="single" w:sz="4" w:space="0" w:color="000000"/>
            </w:tcBorders>
          </w:tcPr>
          <w:p>
            <w:pPr>
              <w:pStyle w:val="TableParagraph"/>
              <w:spacing w:line="184" w:lineRule="exact"/>
              <w:ind w:left="10"/>
              <w:rPr>
                <w:sz w:val="18"/>
              </w:rPr>
            </w:pPr>
            <w:r>
              <w:rPr>
                <w:sz w:val="18"/>
              </w:rPr>
              <w:t>91</w:t>
            </w:r>
            <w:r>
              <w:rPr>
                <w:spacing w:val="2"/>
                <w:sz w:val="18"/>
              </w:rPr>
              <w:t> </w:t>
            </w:r>
            <w:r>
              <w:rPr>
                <w:spacing w:val="-2"/>
                <w:sz w:val="18"/>
              </w:rPr>
              <w:t>(50.8)</w:t>
            </w:r>
          </w:p>
        </w:tc>
      </w:tr>
      <w:tr>
        <w:trPr>
          <w:trHeight w:val="205" w:hRule="atLeast"/>
        </w:trPr>
        <w:tc>
          <w:tcPr>
            <w:tcW w:w="1022" w:type="dxa"/>
            <w:tcBorders>
              <w:top w:val="single" w:sz="4" w:space="0" w:color="000000"/>
            </w:tcBorders>
          </w:tcPr>
          <w:p>
            <w:pPr>
              <w:pStyle w:val="TableParagraph"/>
              <w:jc w:val="left"/>
              <w:rPr>
                <w:sz w:val="14"/>
              </w:rPr>
            </w:pPr>
          </w:p>
        </w:tc>
        <w:tc>
          <w:tcPr>
            <w:tcW w:w="940" w:type="dxa"/>
            <w:tcBorders>
              <w:top w:val="single" w:sz="4" w:space="0" w:color="000000"/>
            </w:tcBorders>
          </w:tcPr>
          <w:p>
            <w:pPr>
              <w:pStyle w:val="TableParagraph"/>
              <w:spacing w:line="185" w:lineRule="exact"/>
              <w:ind w:right="130"/>
              <w:rPr>
                <w:sz w:val="18"/>
              </w:rPr>
            </w:pPr>
            <w:r>
              <w:rPr>
                <w:spacing w:val="-10"/>
                <w:sz w:val="18"/>
              </w:rPr>
              <w:t>D</w:t>
            </w:r>
          </w:p>
        </w:tc>
        <w:tc>
          <w:tcPr>
            <w:tcW w:w="1358" w:type="dxa"/>
            <w:tcBorders>
              <w:top w:val="single" w:sz="4" w:space="0" w:color="000000"/>
            </w:tcBorders>
          </w:tcPr>
          <w:p>
            <w:pPr>
              <w:pStyle w:val="TableParagraph"/>
              <w:spacing w:line="185" w:lineRule="exact"/>
              <w:ind w:right="388"/>
              <w:jc w:val="right"/>
              <w:rPr>
                <w:sz w:val="18"/>
              </w:rPr>
            </w:pPr>
            <w:r>
              <w:rPr>
                <w:sz w:val="18"/>
              </w:rPr>
              <w:t>18</w:t>
            </w:r>
            <w:r>
              <w:rPr>
                <w:spacing w:val="2"/>
                <w:sz w:val="18"/>
              </w:rPr>
              <w:t> </w:t>
            </w:r>
            <w:r>
              <w:rPr>
                <w:spacing w:val="-2"/>
                <w:sz w:val="18"/>
              </w:rPr>
              <w:t>(10.2)</w:t>
            </w:r>
          </w:p>
        </w:tc>
        <w:tc>
          <w:tcPr>
            <w:tcW w:w="1761" w:type="dxa"/>
            <w:tcBorders>
              <w:top w:val="single" w:sz="4" w:space="0" w:color="000000"/>
            </w:tcBorders>
          </w:tcPr>
          <w:p>
            <w:pPr>
              <w:pStyle w:val="TableParagraph"/>
              <w:spacing w:line="185" w:lineRule="exact"/>
              <w:ind w:left="36" w:right="3"/>
              <w:rPr>
                <w:sz w:val="18"/>
              </w:rPr>
            </w:pPr>
            <w:r>
              <w:rPr>
                <w:sz w:val="18"/>
              </w:rPr>
              <w:t>48</w:t>
            </w:r>
            <w:r>
              <w:rPr>
                <w:spacing w:val="2"/>
                <w:sz w:val="18"/>
              </w:rPr>
              <w:t> </w:t>
            </w:r>
            <w:r>
              <w:rPr>
                <w:spacing w:val="-4"/>
                <w:sz w:val="18"/>
              </w:rPr>
              <w:t>(27)</w:t>
            </w:r>
          </w:p>
        </w:tc>
        <w:tc>
          <w:tcPr>
            <w:tcW w:w="1328" w:type="dxa"/>
            <w:tcBorders>
              <w:top w:val="single" w:sz="4" w:space="0" w:color="000000"/>
            </w:tcBorders>
          </w:tcPr>
          <w:p>
            <w:pPr>
              <w:pStyle w:val="TableParagraph"/>
              <w:spacing w:line="185" w:lineRule="exact"/>
              <w:ind w:left="2"/>
              <w:rPr>
                <w:sz w:val="18"/>
              </w:rPr>
            </w:pPr>
            <w:r>
              <w:rPr>
                <w:sz w:val="18"/>
              </w:rPr>
              <w:t>54</w:t>
            </w:r>
            <w:r>
              <w:rPr>
                <w:spacing w:val="2"/>
                <w:sz w:val="18"/>
              </w:rPr>
              <w:t> </w:t>
            </w:r>
            <w:r>
              <w:rPr>
                <w:spacing w:val="-2"/>
                <w:sz w:val="18"/>
              </w:rPr>
              <w:t>(30.3)</w:t>
            </w:r>
          </w:p>
        </w:tc>
        <w:tc>
          <w:tcPr>
            <w:tcW w:w="1645" w:type="dxa"/>
            <w:tcBorders>
              <w:top w:val="single" w:sz="4" w:space="0" w:color="000000"/>
            </w:tcBorders>
          </w:tcPr>
          <w:p>
            <w:pPr>
              <w:pStyle w:val="TableParagraph"/>
              <w:spacing w:line="185" w:lineRule="exact"/>
              <w:ind w:left="95" w:right="90"/>
              <w:rPr>
                <w:sz w:val="18"/>
              </w:rPr>
            </w:pPr>
            <w:r>
              <w:rPr>
                <w:sz w:val="18"/>
              </w:rPr>
              <w:t>13</w:t>
            </w:r>
            <w:r>
              <w:rPr>
                <w:spacing w:val="2"/>
                <w:sz w:val="18"/>
              </w:rPr>
              <w:t> </w:t>
            </w:r>
            <w:r>
              <w:rPr>
                <w:spacing w:val="-2"/>
                <w:sz w:val="18"/>
              </w:rPr>
              <w:t>(7.5)</w:t>
            </w:r>
          </w:p>
        </w:tc>
        <w:tc>
          <w:tcPr>
            <w:tcW w:w="606" w:type="dxa"/>
            <w:tcBorders>
              <w:top w:val="single" w:sz="4" w:space="0" w:color="000000"/>
            </w:tcBorders>
          </w:tcPr>
          <w:p>
            <w:pPr>
              <w:pStyle w:val="TableParagraph"/>
              <w:spacing w:line="185" w:lineRule="exact"/>
              <w:ind w:left="1" w:right="1"/>
              <w:rPr>
                <w:sz w:val="18"/>
              </w:rPr>
            </w:pPr>
            <w:r>
              <w:rPr>
                <w:spacing w:val="-5"/>
                <w:sz w:val="18"/>
              </w:rPr>
              <w:t>NR</w:t>
            </w:r>
          </w:p>
        </w:tc>
        <w:tc>
          <w:tcPr>
            <w:tcW w:w="1002" w:type="dxa"/>
            <w:tcBorders>
              <w:top w:val="single" w:sz="4" w:space="0" w:color="000000"/>
            </w:tcBorders>
          </w:tcPr>
          <w:p>
            <w:pPr>
              <w:pStyle w:val="TableParagraph"/>
              <w:spacing w:line="185" w:lineRule="exact"/>
              <w:ind w:left="10"/>
              <w:rPr>
                <w:sz w:val="18"/>
              </w:rPr>
            </w:pPr>
            <w:r>
              <w:rPr>
                <w:sz w:val="18"/>
              </w:rPr>
              <w:t>65</w:t>
            </w:r>
            <w:r>
              <w:rPr>
                <w:spacing w:val="2"/>
                <w:sz w:val="18"/>
              </w:rPr>
              <w:t> </w:t>
            </w:r>
            <w:r>
              <w:rPr>
                <w:spacing w:val="-2"/>
                <w:sz w:val="18"/>
              </w:rPr>
              <w:t>(37.4)</w:t>
            </w:r>
          </w:p>
        </w:tc>
      </w:tr>
      <w:tr>
        <w:trPr>
          <w:trHeight w:val="211" w:hRule="atLeast"/>
        </w:trPr>
        <w:tc>
          <w:tcPr>
            <w:tcW w:w="1022" w:type="dxa"/>
            <w:vMerge w:val="restart"/>
          </w:tcPr>
          <w:p>
            <w:pPr>
              <w:pStyle w:val="TableParagraph"/>
              <w:spacing w:line="206" w:lineRule="exact"/>
              <w:ind w:left="338" w:right="151" w:hanging="171"/>
              <w:jc w:val="left"/>
              <w:rPr>
                <w:sz w:val="18"/>
              </w:rPr>
            </w:pPr>
            <w:r>
              <w:rPr>
                <w:spacing w:val="-2"/>
                <w:sz w:val="18"/>
              </w:rPr>
              <w:t>Maryland </w:t>
            </w:r>
            <w:r>
              <w:rPr>
                <w:spacing w:val="-4"/>
                <w:sz w:val="18"/>
              </w:rPr>
              <w:t>n(%)</w:t>
            </w:r>
          </w:p>
        </w:tc>
        <w:tc>
          <w:tcPr>
            <w:tcW w:w="940" w:type="dxa"/>
          </w:tcPr>
          <w:p>
            <w:pPr>
              <w:pStyle w:val="TableParagraph"/>
              <w:spacing w:line="191" w:lineRule="exact"/>
              <w:ind w:right="130"/>
              <w:rPr>
                <w:sz w:val="18"/>
              </w:rPr>
            </w:pPr>
            <w:r>
              <w:rPr>
                <w:spacing w:val="-10"/>
                <w:sz w:val="18"/>
              </w:rPr>
              <w:t>N</w:t>
            </w:r>
          </w:p>
        </w:tc>
        <w:tc>
          <w:tcPr>
            <w:tcW w:w="1358" w:type="dxa"/>
          </w:tcPr>
          <w:p>
            <w:pPr>
              <w:pStyle w:val="TableParagraph"/>
              <w:spacing w:line="191" w:lineRule="exact"/>
              <w:ind w:right="388"/>
              <w:jc w:val="right"/>
              <w:rPr>
                <w:sz w:val="18"/>
              </w:rPr>
            </w:pPr>
            <w:r>
              <w:rPr>
                <w:sz w:val="18"/>
              </w:rPr>
              <w:t>23</w:t>
            </w:r>
            <w:r>
              <w:rPr>
                <w:spacing w:val="2"/>
                <w:sz w:val="18"/>
              </w:rPr>
              <w:t> </w:t>
            </w:r>
            <w:r>
              <w:rPr>
                <w:spacing w:val="-2"/>
                <w:sz w:val="18"/>
              </w:rPr>
              <w:t>(13.1)</w:t>
            </w:r>
          </w:p>
        </w:tc>
        <w:tc>
          <w:tcPr>
            <w:tcW w:w="1761" w:type="dxa"/>
          </w:tcPr>
          <w:p>
            <w:pPr>
              <w:pStyle w:val="TableParagraph"/>
              <w:spacing w:line="191" w:lineRule="exact"/>
              <w:ind w:left="36" w:right="3"/>
              <w:rPr>
                <w:sz w:val="18"/>
              </w:rPr>
            </w:pPr>
            <w:r>
              <w:rPr>
                <w:sz w:val="18"/>
              </w:rPr>
              <w:t>21</w:t>
            </w:r>
            <w:r>
              <w:rPr>
                <w:spacing w:val="2"/>
                <w:sz w:val="18"/>
              </w:rPr>
              <w:t> </w:t>
            </w:r>
            <w:r>
              <w:rPr>
                <w:spacing w:val="-2"/>
                <w:sz w:val="18"/>
              </w:rPr>
              <w:t>(11.8)</w:t>
            </w:r>
          </w:p>
        </w:tc>
        <w:tc>
          <w:tcPr>
            <w:tcW w:w="1328" w:type="dxa"/>
          </w:tcPr>
          <w:p>
            <w:pPr>
              <w:pStyle w:val="TableParagraph"/>
              <w:spacing w:line="191" w:lineRule="exact"/>
              <w:ind w:left="2"/>
              <w:rPr>
                <w:sz w:val="18"/>
              </w:rPr>
            </w:pPr>
            <w:r>
              <w:rPr>
                <w:sz w:val="18"/>
              </w:rPr>
              <w:t>33</w:t>
            </w:r>
            <w:r>
              <w:rPr>
                <w:spacing w:val="2"/>
                <w:sz w:val="18"/>
              </w:rPr>
              <w:t> </w:t>
            </w:r>
            <w:r>
              <w:rPr>
                <w:spacing w:val="-2"/>
                <w:sz w:val="18"/>
              </w:rPr>
              <w:t>(18.5)</w:t>
            </w:r>
          </w:p>
        </w:tc>
        <w:tc>
          <w:tcPr>
            <w:tcW w:w="1645" w:type="dxa"/>
          </w:tcPr>
          <w:p>
            <w:pPr>
              <w:pStyle w:val="TableParagraph"/>
              <w:spacing w:line="191" w:lineRule="exact"/>
              <w:ind w:left="95" w:right="90"/>
              <w:rPr>
                <w:sz w:val="18"/>
              </w:rPr>
            </w:pPr>
            <w:r>
              <w:rPr>
                <w:sz w:val="18"/>
              </w:rPr>
              <w:t>25</w:t>
            </w:r>
            <w:r>
              <w:rPr>
                <w:spacing w:val="2"/>
                <w:sz w:val="18"/>
              </w:rPr>
              <w:t> </w:t>
            </w:r>
            <w:r>
              <w:rPr>
                <w:spacing w:val="-2"/>
                <w:sz w:val="18"/>
              </w:rPr>
              <w:t>(14.4)</w:t>
            </w:r>
          </w:p>
        </w:tc>
        <w:tc>
          <w:tcPr>
            <w:tcW w:w="606" w:type="dxa"/>
          </w:tcPr>
          <w:p>
            <w:pPr>
              <w:pStyle w:val="TableParagraph"/>
              <w:spacing w:line="191" w:lineRule="exact"/>
              <w:ind w:right="1"/>
              <w:rPr>
                <w:sz w:val="18"/>
              </w:rPr>
            </w:pPr>
            <w:r>
              <w:rPr>
                <w:spacing w:val="-10"/>
                <w:sz w:val="18"/>
              </w:rPr>
              <w:t>S</w:t>
            </w:r>
          </w:p>
        </w:tc>
        <w:tc>
          <w:tcPr>
            <w:tcW w:w="1002" w:type="dxa"/>
          </w:tcPr>
          <w:p>
            <w:pPr>
              <w:pStyle w:val="TableParagraph"/>
              <w:spacing w:line="191" w:lineRule="exact"/>
              <w:ind w:left="10"/>
              <w:rPr>
                <w:sz w:val="18"/>
              </w:rPr>
            </w:pPr>
            <w:r>
              <w:rPr>
                <w:sz w:val="18"/>
              </w:rPr>
              <w:t>35</w:t>
            </w:r>
            <w:r>
              <w:rPr>
                <w:spacing w:val="2"/>
                <w:sz w:val="18"/>
              </w:rPr>
              <w:t> </w:t>
            </w:r>
            <w:r>
              <w:rPr>
                <w:spacing w:val="-2"/>
                <w:sz w:val="18"/>
              </w:rPr>
              <w:t>(20.1)</w:t>
            </w:r>
          </w:p>
        </w:tc>
      </w:tr>
      <w:tr>
        <w:trPr>
          <w:trHeight w:val="221" w:hRule="atLeast"/>
        </w:trPr>
        <w:tc>
          <w:tcPr>
            <w:tcW w:w="1022" w:type="dxa"/>
            <w:vMerge/>
            <w:tcBorders>
              <w:top w:val="nil"/>
            </w:tcBorders>
          </w:tcPr>
          <w:p>
            <w:pPr>
              <w:rPr>
                <w:sz w:val="2"/>
                <w:szCs w:val="2"/>
              </w:rPr>
            </w:pPr>
          </w:p>
        </w:tc>
        <w:tc>
          <w:tcPr>
            <w:tcW w:w="940" w:type="dxa"/>
            <w:tcBorders>
              <w:bottom w:val="single" w:sz="4" w:space="0" w:color="000000"/>
            </w:tcBorders>
          </w:tcPr>
          <w:p>
            <w:pPr>
              <w:pStyle w:val="TableParagraph"/>
              <w:spacing w:line="201" w:lineRule="exact"/>
              <w:ind w:right="130"/>
              <w:rPr>
                <w:sz w:val="18"/>
              </w:rPr>
            </w:pPr>
            <w:r>
              <w:rPr>
                <w:spacing w:val="-10"/>
                <w:sz w:val="18"/>
              </w:rPr>
              <w:t>A</w:t>
            </w:r>
          </w:p>
        </w:tc>
        <w:tc>
          <w:tcPr>
            <w:tcW w:w="1358" w:type="dxa"/>
            <w:tcBorders>
              <w:bottom w:val="single" w:sz="4" w:space="0" w:color="000000"/>
            </w:tcBorders>
          </w:tcPr>
          <w:p>
            <w:pPr>
              <w:pStyle w:val="TableParagraph"/>
              <w:spacing w:line="201" w:lineRule="exact"/>
              <w:ind w:right="345"/>
              <w:jc w:val="right"/>
              <w:rPr>
                <w:sz w:val="18"/>
              </w:rPr>
            </w:pPr>
            <w:r>
              <w:rPr>
                <w:sz w:val="18"/>
              </w:rPr>
              <w:t>135</w:t>
            </w:r>
            <w:r>
              <w:rPr>
                <w:spacing w:val="-1"/>
                <w:sz w:val="18"/>
              </w:rPr>
              <w:t> </w:t>
            </w:r>
            <w:r>
              <w:rPr>
                <w:spacing w:val="-2"/>
                <w:sz w:val="18"/>
              </w:rPr>
              <w:t>(76.7)</w:t>
            </w:r>
          </w:p>
        </w:tc>
        <w:tc>
          <w:tcPr>
            <w:tcW w:w="1761" w:type="dxa"/>
            <w:tcBorders>
              <w:bottom w:val="single" w:sz="4" w:space="0" w:color="000000"/>
            </w:tcBorders>
          </w:tcPr>
          <w:p>
            <w:pPr>
              <w:pStyle w:val="TableParagraph"/>
              <w:spacing w:line="201" w:lineRule="exact"/>
              <w:ind w:left="36"/>
              <w:rPr>
                <w:sz w:val="18"/>
              </w:rPr>
            </w:pPr>
            <w:r>
              <w:rPr>
                <w:sz w:val="18"/>
              </w:rPr>
              <w:t>109</w:t>
            </w:r>
            <w:r>
              <w:rPr>
                <w:spacing w:val="-1"/>
                <w:sz w:val="18"/>
              </w:rPr>
              <w:t> </w:t>
            </w:r>
            <w:r>
              <w:rPr>
                <w:spacing w:val="-2"/>
                <w:sz w:val="18"/>
              </w:rPr>
              <w:t>(61.2)</w:t>
            </w:r>
          </w:p>
        </w:tc>
        <w:tc>
          <w:tcPr>
            <w:tcW w:w="1328" w:type="dxa"/>
            <w:tcBorders>
              <w:bottom w:val="single" w:sz="4" w:space="0" w:color="000000"/>
            </w:tcBorders>
          </w:tcPr>
          <w:p>
            <w:pPr>
              <w:pStyle w:val="TableParagraph"/>
              <w:spacing w:line="201" w:lineRule="exact"/>
              <w:ind w:left="2"/>
              <w:rPr>
                <w:sz w:val="18"/>
              </w:rPr>
            </w:pPr>
            <w:r>
              <w:rPr>
                <w:sz w:val="18"/>
              </w:rPr>
              <w:t>91</w:t>
            </w:r>
            <w:r>
              <w:rPr>
                <w:spacing w:val="2"/>
                <w:sz w:val="18"/>
              </w:rPr>
              <w:t> </w:t>
            </w:r>
            <w:r>
              <w:rPr>
                <w:spacing w:val="-2"/>
                <w:sz w:val="18"/>
              </w:rPr>
              <w:t>(51.1)</w:t>
            </w:r>
          </w:p>
        </w:tc>
        <w:tc>
          <w:tcPr>
            <w:tcW w:w="1645" w:type="dxa"/>
            <w:tcBorders>
              <w:bottom w:val="single" w:sz="4" w:space="0" w:color="000000"/>
            </w:tcBorders>
          </w:tcPr>
          <w:p>
            <w:pPr>
              <w:pStyle w:val="TableParagraph"/>
              <w:spacing w:line="201" w:lineRule="exact"/>
              <w:ind w:left="93" w:right="90"/>
              <w:rPr>
                <w:sz w:val="18"/>
              </w:rPr>
            </w:pPr>
            <w:r>
              <w:rPr>
                <w:sz w:val="18"/>
              </w:rPr>
              <w:t>136</w:t>
            </w:r>
            <w:r>
              <w:rPr>
                <w:spacing w:val="-1"/>
                <w:sz w:val="18"/>
              </w:rPr>
              <w:t> </w:t>
            </w:r>
            <w:r>
              <w:rPr>
                <w:spacing w:val="-2"/>
                <w:sz w:val="18"/>
              </w:rPr>
              <w:t>(78.2)</w:t>
            </w:r>
          </w:p>
        </w:tc>
        <w:tc>
          <w:tcPr>
            <w:tcW w:w="606" w:type="dxa"/>
            <w:tcBorders>
              <w:bottom w:val="single" w:sz="4" w:space="0" w:color="000000"/>
            </w:tcBorders>
          </w:tcPr>
          <w:p>
            <w:pPr>
              <w:pStyle w:val="TableParagraph"/>
              <w:spacing w:line="201" w:lineRule="exact"/>
              <w:ind w:left="1" w:right="1"/>
              <w:rPr>
                <w:sz w:val="18"/>
              </w:rPr>
            </w:pPr>
            <w:r>
              <w:rPr>
                <w:spacing w:val="-5"/>
                <w:sz w:val="18"/>
              </w:rPr>
              <w:t>OA</w:t>
            </w:r>
          </w:p>
        </w:tc>
        <w:tc>
          <w:tcPr>
            <w:tcW w:w="1002" w:type="dxa"/>
            <w:tcBorders>
              <w:bottom w:val="single" w:sz="4" w:space="0" w:color="000000"/>
            </w:tcBorders>
          </w:tcPr>
          <w:p>
            <w:pPr>
              <w:pStyle w:val="TableParagraph"/>
              <w:spacing w:line="201" w:lineRule="exact"/>
              <w:ind w:left="10"/>
              <w:rPr>
                <w:sz w:val="18"/>
              </w:rPr>
            </w:pPr>
            <w:r>
              <w:rPr>
                <w:sz w:val="18"/>
              </w:rPr>
              <w:t>74</w:t>
            </w:r>
            <w:r>
              <w:rPr>
                <w:spacing w:val="2"/>
                <w:sz w:val="18"/>
              </w:rPr>
              <w:t> </w:t>
            </w:r>
            <w:r>
              <w:rPr>
                <w:spacing w:val="-2"/>
                <w:sz w:val="18"/>
              </w:rPr>
              <w:t>(42.5)</w:t>
            </w:r>
          </w:p>
        </w:tc>
      </w:tr>
      <w:tr>
        <w:trPr>
          <w:trHeight w:val="207" w:hRule="atLeast"/>
        </w:trPr>
        <w:tc>
          <w:tcPr>
            <w:tcW w:w="1022" w:type="dxa"/>
            <w:tcBorders>
              <w:bottom w:val="single" w:sz="12" w:space="0" w:color="000000"/>
            </w:tcBorders>
          </w:tcPr>
          <w:p>
            <w:pPr>
              <w:pStyle w:val="TableParagraph"/>
              <w:jc w:val="left"/>
              <w:rPr>
                <w:sz w:val="14"/>
              </w:rPr>
            </w:pPr>
          </w:p>
        </w:tc>
        <w:tc>
          <w:tcPr>
            <w:tcW w:w="940" w:type="dxa"/>
            <w:tcBorders>
              <w:top w:val="single" w:sz="4" w:space="0" w:color="000000"/>
              <w:bottom w:val="single" w:sz="12" w:space="0" w:color="000000"/>
            </w:tcBorders>
          </w:tcPr>
          <w:p>
            <w:pPr>
              <w:pStyle w:val="TableParagraph"/>
              <w:spacing w:line="188" w:lineRule="exact"/>
              <w:ind w:left="5" w:right="130"/>
              <w:rPr>
                <w:sz w:val="18"/>
              </w:rPr>
            </w:pPr>
            <w:r>
              <w:rPr>
                <w:sz w:val="18"/>
              </w:rPr>
              <w:t>P-</w:t>
            </w:r>
            <w:r>
              <w:rPr>
                <w:spacing w:val="-2"/>
                <w:sz w:val="18"/>
              </w:rPr>
              <w:t>value</w:t>
            </w:r>
          </w:p>
        </w:tc>
        <w:tc>
          <w:tcPr>
            <w:tcW w:w="1358" w:type="dxa"/>
            <w:tcBorders>
              <w:top w:val="single" w:sz="4" w:space="0" w:color="000000"/>
              <w:bottom w:val="single" w:sz="12" w:space="0" w:color="000000"/>
            </w:tcBorders>
          </w:tcPr>
          <w:p>
            <w:pPr>
              <w:pStyle w:val="TableParagraph"/>
              <w:spacing w:line="188" w:lineRule="exact"/>
              <w:ind w:right="88"/>
              <w:rPr>
                <w:sz w:val="18"/>
              </w:rPr>
            </w:pPr>
            <w:r>
              <w:rPr>
                <w:spacing w:val="-4"/>
                <w:sz w:val="18"/>
              </w:rPr>
              <w:t>0.02</w:t>
            </w:r>
          </w:p>
        </w:tc>
        <w:tc>
          <w:tcPr>
            <w:tcW w:w="1761" w:type="dxa"/>
            <w:tcBorders>
              <w:top w:val="single" w:sz="4" w:space="0" w:color="000000"/>
              <w:bottom w:val="single" w:sz="12" w:space="0" w:color="000000"/>
            </w:tcBorders>
          </w:tcPr>
          <w:p>
            <w:pPr>
              <w:pStyle w:val="TableParagraph"/>
              <w:spacing w:line="188" w:lineRule="exact"/>
              <w:ind w:left="36" w:right="4"/>
              <w:rPr>
                <w:sz w:val="18"/>
              </w:rPr>
            </w:pPr>
            <w:r>
              <w:rPr>
                <w:spacing w:val="-2"/>
                <w:sz w:val="18"/>
              </w:rPr>
              <w:t>0.003</w:t>
            </w:r>
          </w:p>
        </w:tc>
        <w:tc>
          <w:tcPr>
            <w:tcW w:w="1328" w:type="dxa"/>
            <w:tcBorders>
              <w:top w:val="single" w:sz="4" w:space="0" w:color="000000"/>
              <w:bottom w:val="single" w:sz="12" w:space="0" w:color="000000"/>
            </w:tcBorders>
          </w:tcPr>
          <w:p>
            <w:pPr>
              <w:pStyle w:val="TableParagraph"/>
              <w:spacing w:line="188" w:lineRule="exact"/>
              <w:ind w:left="2" w:right="1"/>
              <w:rPr>
                <w:sz w:val="18"/>
              </w:rPr>
            </w:pPr>
            <w:r>
              <w:rPr>
                <w:spacing w:val="-2"/>
                <w:sz w:val="18"/>
              </w:rPr>
              <w:t>0.001</w:t>
            </w:r>
          </w:p>
        </w:tc>
        <w:tc>
          <w:tcPr>
            <w:tcW w:w="1645" w:type="dxa"/>
            <w:tcBorders>
              <w:top w:val="single" w:sz="4" w:space="0" w:color="000000"/>
              <w:bottom w:val="single" w:sz="12" w:space="0" w:color="000000"/>
            </w:tcBorders>
          </w:tcPr>
          <w:p>
            <w:pPr>
              <w:pStyle w:val="TableParagraph"/>
              <w:spacing w:line="188" w:lineRule="exact"/>
              <w:ind w:left="94" w:right="90"/>
              <w:rPr>
                <w:sz w:val="18"/>
              </w:rPr>
            </w:pPr>
            <w:r>
              <w:rPr>
                <w:spacing w:val="-2"/>
                <w:sz w:val="18"/>
              </w:rPr>
              <w:t>0.041</w:t>
            </w:r>
          </w:p>
        </w:tc>
        <w:tc>
          <w:tcPr>
            <w:tcW w:w="606" w:type="dxa"/>
            <w:tcBorders>
              <w:top w:val="single" w:sz="4" w:space="0" w:color="000000"/>
              <w:bottom w:val="single" w:sz="12" w:space="0" w:color="000000"/>
            </w:tcBorders>
          </w:tcPr>
          <w:p>
            <w:pPr>
              <w:pStyle w:val="TableParagraph"/>
              <w:jc w:val="left"/>
              <w:rPr>
                <w:sz w:val="14"/>
              </w:rPr>
            </w:pPr>
          </w:p>
        </w:tc>
        <w:tc>
          <w:tcPr>
            <w:tcW w:w="1002" w:type="dxa"/>
            <w:tcBorders>
              <w:top w:val="single" w:sz="4" w:space="0" w:color="000000"/>
              <w:bottom w:val="single" w:sz="12" w:space="0" w:color="000000"/>
            </w:tcBorders>
          </w:tcPr>
          <w:p>
            <w:pPr>
              <w:pStyle w:val="TableParagraph"/>
              <w:spacing w:line="188" w:lineRule="exact"/>
              <w:ind w:left="10" w:right="2"/>
              <w:rPr>
                <w:sz w:val="18"/>
              </w:rPr>
            </w:pPr>
            <w:r>
              <w:rPr>
                <w:spacing w:val="-10"/>
                <w:sz w:val="18"/>
              </w:rPr>
              <w:t>0</w:t>
            </w:r>
          </w:p>
        </w:tc>
      </w:tr>
    </w:tbl>
    <w:p>
      <w:pPr>
        <w:pStyle w:val="BodyText"/>
        <w:spacing w:before="11"/>
        <w:ind w:left="240" w:right="600"/>
      </w:pPr>
      <w:r>
        <w:rPr/>
        <w:t>D=disagree,</w:t>
      </w:r>
      <w:r>
        <w:rPr>
          <w:spacing w:val="-4"/>
        </w:rPr>
        <w:t> </w:t>
      </w:r>
      <w:r>
        <w:rPr/>
        <w:t>N=neither</w:t>
      </w:r>
      <w:r>
        <w:rPr>
          <w:spacing w:val="-6"/>
        </w:rPr>
        <w:t> </w:t>
      </w:r>
      <w:r>
        <w:rPr/>
        <w:t>agree</w:t>
      </w:r>
      <w:r>
        <w:rPr>
          <w:spacing w:val="-4"/>
        </w:rPr>
        <w:t> </w:t>
      </w:r>
      <w:r>
        <w:rPr/>
        <w:t>nor</w:t>
      </w:r>
      <w:r>
        <w:rPr>
          <w:spacing w:val="-3"/>
        </w:rPr>
        <w:t> </w:t>
      </w:r>
      <w:r>
        <w:rPr/>
        <w:t>disagree,</w:t>
      </w:r>
      <w:r>
        <w:rPr>
          <w:spacing w:val="-4"/>
        </w:rPr>
        <w:t> </w:t>
      </w:r>
      <w:r>
        <w:rPr/>
        <w:t>A=agree,</w:t>
      </w:r>
      <w:r>
        <w:rPr>
          <w:spacing w:val="-4"/>
        </w:rPr>
        <w:t> </w:t>
      </w:r>
      <w:r>
        <w:rPr/>
        <w:t>NR=never</w:t>
      </w:r>
      <w:r>
        <w:rPr>
          <w:spacing w:val="-3"/>
        </w:rPr>
        <w:t> </w:t>
      </w:r>
      <w:r>
        <w:rPr/>
        <w:t>or</w:t>
      </w:r>
      <w:r>
        <w:rPr>
          <w:spacing w:val="-6"/>
        </w:rPr>
        <w:t> </w:t>
      </w:r>
      <w:r>
        <w:rPr/>
        <w:t>rarely,</w:t>
      </w:r>
      <w:r>
        <w:rPr>
          <w:spacing w:val="-4"/>
        </w:rPr>
        <w:t> </w:t>
      </w:r>
      <w:r>
        <w:rPr/>
        <w:t>S=sometimes,</w:t>
      </w:r>
      <w:r>
        <w:rPr>
          <w:spacing w:val="-4"/>
        </w:rPr>
        <w:t> </w:t>
      </w:r>
      <w:r>
        <w:rPr/>
        <w:t>OA=often</w:t>
      </w:r>
      <w:r>
        <w:rPr>
          <w:spacing w:val="-4"/>
        </w:rPr>
        <w:t> </w:t>
      </w:r>
      <w:r>
        <w:rPr/>
        <w:t>or </w:t>
      </w:r>
      <w:r>
        <w:rPr>
          <w:spacing w:val="-2"/>
        </w:rPr>
        <w:t>always</w:t>
      </w:r>
    </w:p>
    <w:p>
      <w:pPr>
        <w:spacing w:after="0"/>
        <w:sectPr>
          <w:type w:val="continuous"/>
          <w:pgSz w:w="12240" w:h="15840"/>
          <w:pgMar w:header="699" w:footer="1070" w:top="1340" w:bottom="1260" w:left="1200" w:right="880"/>
        </w:sectPr>
      </w:pPr>
    </w:p>
    <w:p>
      <w:pPr>
        <w:pStyle w:val="Heading2"/>
        <w:spacing w:line="250" w:lineRule="exact" w:before="89"/>
        <w:jc w:val="both"/>
      </w:pPr>
      <w:r>
        <w:rPr/>
        <w:t>Location</w:t>
      </w:r>
      <w:r>
        <w:rPr>
          <w:spacing w:val="-4"/>
        </w:rPr>
        <w:t> </w:t>
      </w:r>
      <w:r>
        <w:rPr/>
        <w:t>and</w:t>
      </w:r>
      <w:r>
        <w:rPr>
          <w:spacing w:val="-6"/>
        </w:rPr>
        <w:t> </w:t>
      </w:r>
      <w:r>
        <w:rPr/>
        <w:t>Protective</w:t>
      </w:r>
      <w:r>
        <w:rPr>
          <w:spacing w:val="-4"/>
        </w:rPr>
        <w:t> </w:t>
      </w:r>
      <w:r>
        <w:rPr>
          <w:spacing w:val="-2"/>
        </w:rPr>
        <w:t>Behavior</w:t>
      </w:r>
    </w:p>
    <w:p>
      <w:pPr>
        <w:pStyle w:val="BodyText"/>
        <w:ind w:left="240" w:right="38"/>
        <w:jc w:val="both"/>
      </w:pPr>
      <w:r>
        <w:rPr/>
        <w:t>There was a difference between locations on protective behaviors practiced. Although the t- test on the composite behavior variable showed</w:t>
      </w:r>
      <w:r>
        <w:rPr>
          <w:spacing w:val="40"/>
        </w:rPr>
        <w:t> </w:t>
      </w:r>
      <w:r>
        <w:rPr/>
        <w:t>a lack of statistically significant difference between these two groups on sun protection behaviors (</w:t>
      </w:r>
      <w:r>
        <w:rPr>
          <w:i/>
        </w:rPr>
        <w:t>p </w:t>
      </w:r>
      <w:r>
        <w:rPr/>
        <w:t>= 0.40), there were differences between locations on specific protection behaviors between the groups (Table 4). When asked about specific actions, such as using sunscreens and covering up exposed skin, students in California were more likely to</w:t>
      </w:r>
      <w:r>
        <w:rPr>
          <w:spacing w:val="40"/>
        </w:rPr>
        <w:t> </w:t>
      </w:r>
      <w:r>
        <w:rPr/>
        <w:t>protect themselves from the sun as compared to Maryland students. For example, 49.2% of the students in California, as compared to 31.6% of the students in Maryland, used sunscreen to protect themselves from the sun (</w:t>
      </w:r>
      <w:r>
        <w:rPr>
          <w:i/>
        </w:rPr>
        <w:t>p </w:t>
      </w:r>
      <w:r>
        <w:rPr/>
        <w:t>&lt; 0.001). In addition, 52% of the students in California covered up exposed skin as compared to 39.7% of the students in Maryland (</w:t>
      </w:r>
      <w:r>
        <w:rPr>
          <w:i/>
        </w:rPr>
        <w:t>p </w:t>
      </w:r>
      <w:r>
        <w:rPr/>
        <w:t>= 0.02). Conversely, 47.1% of the students in Maryland avoided midday sun between 10am to 3pm as compared to 31.8% of the students in California (</w:t>
      </w:r>
      <w:r>
        <w:rPr>
          <w:i/>
        </w:rPr>
        <w:t>p </w:t>
      </w:r>
      <w:r>
        <w:rPr/>
        <w:t>= 0.003). Interestingly, while students in California</w:t>
      </w:r>
      <w:r>
        <w:rPr>
          <w:spacing w:val="-4"/>
        </w:rPr>
        <w:t> </w:t>
      </w:r>
      <w:r>
        <w:rPr/>
        <w:t>were</w:t>
      </w:r>
      <w:r>
        <w:rPr>
          <w:spacing w:val="-1"/>
        </w:rPr>
        <w:t> </w:t>
      </w:r>
      <w:r>
        <w:rPr/>
        <w:t>more</w:t>
      </w:r>
      <w:r>
        <w:rPr>
          <w:spacing w:val="-1"/>
        </w:rPr>
        <w:t> </w:t>
      </w:r>
      <w:r>
        <w:rPr/>
        <w:t>likely</w:t>
      </w:r>
      <w:r>
        <w:rPr>
          <w:spacing w:val="-4"/>
        </w:rPr>
        <w:t> </w:t>
      </w:r>
      <w:r>
        <w:rPr/>
        <w:t>to</w:t>
      </w:r>
      <w:r>
        <w:rPr>
          <w:spacing w:val="-2"/>
        </w:rPr>
        <w:t> </w:t>
      </w:r>
      <w:r>
        <w:rPr/>
        <w:t>use</w:t>
      </w:r>
      <w:r>
        <w:rPr>
          <w:spacing w:val="-4"/>
        </w:rPr>
        <w:t> </w:t>
      </w:r>
      <w:r>
        <w:rPr/>
        <w:t>sunscreen</w:t>
      </w:r>
      <w:r>
        <w:rPr>
          <w:spacing w:val="-4"/>
        </w:rPr>
        <w:t> </w:t>
      </w:r>
      <w:r>
        <w:rPr/>
        <w:t>and cover up exposed skin, Maryland students were more likely to associate themselves with having positive</w:t>
      </w:r>
      <w:r>
        <w:rPr>
          <w:spacing w:val="-2"/>
        </w:rPr>
        <w:t> </w:t>
      </w:r>
      <w:r>
        <w:rPr/>
        <w:t>sun</w:t>
      </w:r>
      <w:r>
        <w:rPr>
          <w:spacing w:val="-3"/>
        </w:rPr>
        <w:t> </w:t>
      </w:r>
      <w:r>
        <w:rPr/>
        <w:t>protection</w:t>
      </w:r>
      <w:r>
        <w:rPr>
          <w:spacing w:val="-3"/>
        </w:rPr>
        <w:t> </w:t>
      </w:r>
      <w:r>
        <w:rPr/>
        <w:t>behaviors</w:t>
      </w:r>
      <w:r>
        <w:rPr>
          <w:spacing w:val="-2"/>
        </w:rPr>
        <w:t> </w:t>
      </w:r>
      <w:r>
        <w:rPr/>
        <w:t>as</w:t>
      </w:r>
      <w:r>
        <w:rPr>
          <w:spacing w:val="-2"/>
        </w:rPr>
        <w:t> </w:t>
      </w:r>
      <w:r>
        <w:rPr/>
        <w:t>compared</w:t>
      </w:r>
      <w:r>
        <w:rPr>
          <w:spacing w:val="-3"/>
        </w:rPr>
        <w:t> </w:t>
      </w:r>
      <w:r>
        <w:rPr/>
        <w:t>to California students. When asked whether they personally do anything to protect themselves from the sun, 66.1% of the Maryland students surveyed responded “yes,” whereas only 46.3% of the students in California said “yes” (</w:t>
      </w:r>
      <w:r>
        <w:rPr>
          <w:i/>
        </w:rPr>
        <w:t>p </w:t>
      </w:r>
      <w:r>
        <w:rPr/>
        <w:t>&lt; </w:t>
      </w:r>
      <w:r>
        <w:rPr>
          <w:spacing w:val="-2"/>
        </w:rPr>
        <w:t>0.001).</w:t>
      </w:r>
    </w:p>
    <w:p>
      <w:pPr>
        <w:pStyle w:val="BodyText"/>
      </w:pPr>
    </w:p>
    <w:p>
      <w:pPr>
        <w:pStyle w:val="Heading2"/>
        <w:ind w:right="40"/>
        <w:jc w:val="both"/>
      </w:pPr>
      <w:r>
        <w:rPr/>
        <w:t>Binary Logistic Regression Models of Sun Protection Outcome Behavior Variables</w:t>
      </w:r>
    </w:p>
    <w:p>
      <w:pPr>
        <w:pStyle w:val="BodyText"/>
        <w:ind w:left="240" w:right="39"/>
        <w:jc w:val="both"/>
      </w:pPr>
      <w:r>
        <w:rPr/>
        <w:t>Sun protection outcome variables that were statistically significant in Table 4 were</w:t>
      </w:r>
      <w:r>
        <w:rPr>
          <w:spacing w:val="80"/>
        </w:rPr>
        <w:t> </w:t>
      </w:r>
      <w:r>
        <w:rPr/>
        <w:t>examined in four binary logistic regressions that adjusted</w:t>
      </w:r>
      <w:r>
        <w:rPr>
          <w:spacing w:val="-7"/>
        </w:rPr>
        <w:t> </w:t>
      </w:r>
      <w:r>
        <w:rPr/>
        <w:t>for</w:t>
      </w:r>
      <w:r>
        <w:rPr>
          <w:spacing w:val="-3"/>
        </w:rPr>
        <w:t> </w:t>
      </w:r>
      <w:r>
        <w:rPr/>
        <w:t>age,</w:t>
      </w:r>
      <w:r>
        <w:rPr>
          <w:spacing w:val="-4"/>
        </w:rPr>
        <w:t> </w:t>
      </w:r>
      <w:r>
        <w:rPr/>
        <w:t>gender,</w:t>
      </w:r>
      <w:r>
        <w:rPr>
          <w:spacing w:val="-7"/>
        </w:rPr>
        <w:t> </w:t>
      </w:r>
      <w:r>
        <w:rPr/>
        <w:t>and</w:t>
      </w:r>
      <w:r>
        <w:rPr>
          <w:spacing w:val="-4"/>
        </w:rPr>
        <w:t> </w:t>
      </w:r>
      <w:r>
        <w:rPr/>
        <w:t>skin</w:t>
      </w:r>
      <w:r>
        <w:rPr>
          <w:spacing w:val="-4"/>
        </w:rPr>
        <w:t> </w:t>
      </w:r>
      <w:r>
        <w:rPr/>
        <w:t>type</w:t>
      </w:r>
      <w:r>
        <w:rPr>
          <w:spacing w:val="-4"/>
        </w:rPr>
        <w:t> </w:t>
      </w:r>
      <w:r>
        <w:rPr/>
        <w:t>(Table</w:t>
      </w:r>
      <w:r>
        <w:rPr>
          <w:spacing w:val="-6"/>
        </w:rPr>
        <w:t> </w:t>
      </w:r>
      <w:r>
        <w:rPr/>
        <w:t>5). Although California residents were less likely to say they personally did anything to protect themselves from the sun (OR= 0.51, 95% CI: 0.32 - 0.83), they were more than twice as likely to report using sunscreen and covering exposed skin</w:t>
      </w:r>
      <w:r>
        <w:rPr>
          <w:spacing w:val="32"/>
        </w:rPr>
        <w:t> </w:t>
      </w:r>
      <w:r>
        <w:rPr/>
        <w:t>(OR=</w:t>
      </w:r>
      <w:r>
        <w:rPr>
          <w:spacing w:val="35"/>
        </w:rPr>
        <w:t> </w:t>
      </w:r>
      <w:r>
        <w:rPr/>
        <w:t>2.29,</w:t>
      </w:r>
      <w:r>
        <w:rPr>
          <w:spacing w:val="35"/>
        </w:rPr>
        <w:t> </w:t>
      </w:r>
      <w:r>
        <w:rPr/>
        <w:t>95%</w:t>
      </w:r>
      <w:r>
        <w:rPr>
          <w:spacing w:val="35"/>
        </w:rPr>
        <w:t> </w:t>
      </w:r>
      <w:r>
        <w:rPr/>
        <w:t>CI:</w:t>
      </w:r>
      <w:r>
        <w:rPr>
          <w:spacing w:val="36"/>
        </w:rPr>
        <w:t> </w:t>
      </w:r>
      <w:r>
        <w:rPr/>
        <w:t>1.39-</w:t>
      </w:r>
      <w:r>
        <w:rPr>
          <w:spacing w:val="31"/>
        </w:rPr>
        <w:t> </w:t>
      </w:r>
      <w:r>
        <w:rPr/>
        <w:t>3.77</w:t>
      </w:r>
      <w:r>
        <w:rPr>
          <w:spacing w:val="35"/>
        </w:rPr>
        <w:t> </w:t>
      </w:r>
      <w:r>
        <w:rPr/>
        <w:t>and</w:t>
      </w:r>
      <w:r>
        <w:rPr>
          <w:spacing w:val="35"/>
        </w:rPr>
        <w:t> </w:t>
      </w:r>
      <w:r>
        <w:rPr>
          <w:spacing w:val="-5"/>
        </w:rPr>
        <w:t>OR=</w:t>
      </w:r>
    </w:p>
    <w:p>
      <w:pPr>
        <w:pStyle w:val="BodyText"/>
        <w:ind w:left="240" w:right="41"/>
        <w:jc w:val="both"/>
      </w:pPr>
      <w:r>
        <w:rPr/>
        <w:t>2.31, 95% CI: 1.43 – 3.71, </w:t>
      </w:r>
      <w:r>
        <w:rPr/>
        <w:t>respectively</w:t>
      </w:r>
      <w:r>
        <w:rPr/>
        <w:t>) compared to Maryland residents. Interestingly, California</w:t>
      </w:r>
      <w:r>
        <w:rPr>
          <w:spacing w:val="7"/>
        </w:rPr>
        <w:t> </w:t>
      </w:r>
      <w:r>
        <w:rPr/>
        <w:t>residents</w:t>
      </w:r>
      <w:r>
        <w:rPr>
          <w:spacing w:val="7"/>
        </w:rPr>
        <w:t> </w:t>
      </w:r>
      <w:r>
        <w:rPr/>
        <w:t>were</w:t>
      </w:r>
      <w:r>
        <w:rPr>
          <w:spacing w:val="7"/>
        </w:rPr>
        <w:t> </w:t>
      </w:r>
      <w:r>
        <w:rPr/>
        <w:t>less</w:t>
      </w:r>
      <w:r>
        <w:rPr>
          <w:spacing w:val="8"/>
        </w:rPr>
        <w:t> </w:t>
      </w:r>
      <w:r>
        <w:rPr/>
        <w:t>likely</w:t>
      </w:r>
      <w:r>
        <w:rPr>
          <w:spacing w:val="4"/>
        </w:rPr>
        <w:t> </w:t>
      </w:r>
      <w:r>
        <w:rPr/>
        <w:t>to</w:t>
      </w:r>
      <w:r>
        <w:rPr>
          <w:spacing w:val="6"/>
        </w:rPr>
        <w:t> </w:t>
      </w:r>
      <w:r>
        <w:rPr/>
        <w:t>avoid</w:t>
      </w:r>
      <w:r>
        <w:rPr>
          <w:spacing w:val="7"/>
        </w:rPr>
        <w:t> </w:t>
      </w:r>
      <w:r>
        <w:rPr>
          <w:spacing w:val="-5"/>
        </w:rPr>
        <w:t>the</w:t>
      </w:r>
    </w:p>
    <w:p>
      <w:pPr>
        <w:pStyle w:val="BodyText"/>
        <w:spacing w:before="82"/>
        <w:ind w:left="348" w:right="449"/>
      </w:pPr>
      <w:r>
        <w:rPr/>
        <w:br w:type="column"/>
      </w:r>
      <w:r>
        <w:rPr/>
        <w:t>midday sun than Maryland residents, OR=0.52, 95% CI: 0.32 – 0.84.</w:t>
      </w:r>
    </w:p>
    <w:p>
      <w:pPr>
        <w:pStyle w:val="Heading2"/>
        <w:spacing w:before="5"/>
        <w:ind w:left="2155"/>
      </w:pPr>
      <w:r>
        <w:rPr/>
        <w:t>Table</w:t>
      </w:r>
      <w:r>
        <w:rPr>
          <w:spacing w:val="-1"/>
        </w:rPr>
        <w:t> </w:t>
      </w:r>
      <w:r>
        <w:rPr>
          <w:spacing w:val="-10"/>
        </w:rPr>
        <w:t>4</w:t>
      </w:r>
    </w:p>
    <w:p>
      <w:pPr>
        <w:pStyle w:val="BodyText"/>
        <w:rPr>
          <w:b/>
        </w:rPr>
      </w:pPr>
    </w:p>
    <w:p>
      <w:pPr>
        <w:spacing w:line="252" w:lineRule="exact" w:before="0"/>
        <w:ind w:left="403" w:right="0" w:firstLine="0"/>
        <w:jc w:val="left"/>
        <w:rPr>
          <w:b/>
          <w:sz w:val="22"/>
        </w:rPr>
      </w:pPr>
      <w:r>
        <w:rPr>
          <w:b/>
          <w:sz w:val="22"/>
        </w:rPr>
        <w:t>Actions</w:t>
      </w:r>
      <w:r>
        <w:rPr>
          <w:b/>
          <w:spacing w:val="-4"/>
          <w:sz w:val="22"/>
        </w:rPr>
        <w:t> </w:t>
      </w:r>
      <w:r>
        <w:rPr>
          <w:b/>
          <w:sz w:val="22"/>
        </w:rPr>
        <w:t>Against</w:t>
      </w:r>
      <w:r>
        <w:rPr>
          <w:b/>
          <w:spacing w:val="-2"/>
          <w:sz w:val="22"/>
        </w:rPr>
        <w:t> </w:t>
      </w:r>
      <w:r>
        <w:rPr>
          <w:b/>
          <w:sz w:val="22"/>
        </w:rPr>
        <w:t>Skin</w:t>
      </w:r>
      <w:r>
        <w:rPr>
          <w:b/>
          <w:spacing w:val="-5"/>
          <w:sz w:val="22"/>
        </w:rPr>
        <w:t> </w:t>
      </w:r>
      <w:r>
        <w:rPr>
          <w:b/>
          <w:sz w:val="22"/>
        </w:rPr>
        <w:t>Cancer,</w:t>
      </w:r>
      <w:r>
        <w:rPr>
          <w:b/>
          <w:spacing w:val="-3"/>
          <w:sz w:val="22"/>
        </w:rPr>
        <w:t> </w:t>
      </w:r>
      <w:r>
        <w:rPr>
          <w:b/>
          <w:sz w:val="22"/>
        </w:rPr>
        <w:t>by</w:t>
      </w:r>
      <w:r>
        <w:rPr>
          <w:b/>
          <w:spacing w:val="-3"/>
          <w:sz w:val="22"/>
        </w:rPr>
        <w:t> </w:t>
      </w:r>
      <w:r>
        <w:rPr>
          <w:b/>
          <w:spacing w:val="-2"/>
          <w:sz w:val="22"/>
        </w:rPr>
        <w:t>Geographic</w:t>
      </w:r>
    </w:p>
    <w:p>
      <w:pPr>
        <w:tabs>
          <w:tab w:pos="2177" w:val="left" w:leader="none"/>
          <w:tab w:pos="5119" w:val="left" w:leader="none"/>
        </w:tabs>
        <w:spacing w:line="252" w:lineRule="exact" w:before="0"/>
        <w:ind w:left="240" w:right="0" w:firstLine="0"/>
        <w:jc w:val="left"/>
        <w:rPr>
          <w:b/>
          <w:sz w:val="22"/>
        </w:rPr>
      </w:pPr>
      <w:r>
        <w:rPr>
          <w:b/>
          <w:sz w:val="22"/>
          <w:u w:val="single"/>
        </w:rPr>
        <w:tab/>
      </w:r>
      <w:r>
        <w:rPr>
          <w:b/>
          <w:spacing w:val="-2"/>
          <w:sz w:val="22"/>
          <w:u w:val="single"/>
        </w:rPr>
        <w:t>Region</w:t>
      </w:r>
      <w:r>
        <w:rPr>
          <w:b/>
          <w:sz w:val="22"/>
          <w:u w:val="single"/>
        </w:rPr>
        <w:tab/>
      </w:r>
    </w:p>
    <w:p>
      <w:pPr>
        <w:pStyle w:val="BodyText"/>
        <w:spacing w:before="4"/>
        <w:rPr>
          <w:b/>
          <w:sz w:val="2"/>
        </w:rPr>
      </w:pPr>
    </w:p>
    <w:tbl>
      <w:tblPr>
        <w:tblW w:w="0" w:type="auto"/>
        <w:jc w:val="left"/>
        <w:tblInd w:w="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4"/>
        <w:gridCol w:w="1006"/>
        <w:gridCol w:w="989"/>
        <w:gridCol w:w="738"/>
      </w:tblGrid>
      <w:tr>
        <w:trPr>
          <w:trHeight w:val="414" w:hRule="atLeast"/>
        </w:trPr>
        <w:tc>
          <w:tcPr>
            <w:tcW w:w="2014" w:type="dxa"/>
          </w:tcPr>
          <w:p>
            <w:pPr>
              <w:pStyle w:val="TableParagraph"/>
              <w:spacing w:before="95"/>
              <w:ind w:left="50"/>
              <w:jc w:val="left"/>
              <w:rPr>
                <w:b/>
                <w:sz w:val="18"/>
              </w:rPr>
            </w:pPr>
            <w:r>
              <w:rPr>
                <w:b/>
                <w:sz w:val="18"/>
              </w:rPr>
              <w:t>Action</w:t>
            </w:r>
            <w:r>
              <w:rPr>
                <w:b/>
                <w:spacing w:val="-5"/>
                <w:sz w:val="18"/>
              </w:rPr>
              <w:t> </w:t>
            </w:r>
            <w:r>
              <w:rPr>
                <w:b/>
                <w:sz w:val="18"/>
              </w:rPr>
              <w:t>–</w:t>
            </w:r>
            <w:r>
              <w:rPr>
                <w:b/>
                <w:spacing w:val="-1"/>
                <w:sz w:val="18"/>
              </w:rPr>
              <w:t> </w:t>
            </w:r>
            <w:r>
              <w:rPr>
                <w:b/>
                <w:spacing w:val="-5"/>
                <w:sz w:val="18"/>
              </w:rPr>
              <w:t>YES</w:t>
            </w:r>
          </w:p>
        </w:tc>
        <w:tc>
          <w:tcPr>
            <w:tcW w:w="1006" w:type="dxa"/>
          </w:tcPr>
          <w:p>
            <w:pPr>
              <w:pStyle w:val="TableParagraph"/>
              <w:spacing w:line="199" w:lineRule="exact"/>
              <w:ind w:left="18" w:right="4"/>
              <w:rPr>
                <w:b/>
                <w:sz w:val="18"/>
              </w:rPr>
            </w:pPr>
            <w:r>
              <w:rPr>
                <w:b/>
                <w:spacing w:val="-5"/>
                <w:sz w:val="18"/>
              </w:rPr>
              <w:t>CA</w:t>
            </w:r>
          </w:p>
          <w:p>
            <w:pPr>
              <w:pStyle w:val="TableParagraph"/>
              <w:tabs>
                <w:tab w:pos="1275" w:val="left" w:leader="none"/>
              </w:tabs>
              <w:spacing w:line="195" w:lineRule="exact"/>
              <w:ind w:left="-2072" w:right="-274"/>
              <w:jc w:val="left"/>
              <w:rPr>
                <w:b/>
                <w:sz w:val="18"/>
              </w:rPr>
            </w:pPr>
            <w:r>
              <w:rPr>
                <w:b/>
                <w:i/>
                <w:spacing w:val="77"/>
                <w:w w:val="150"/>
                <w:sz w:val="18"/>
                <w:u w:val="single"/>
              </w:rPr>
              <w:t>                </w:t>
            </w:r>
            <w:r>
              <w:rPr>
                <w:b/>
                <w:i/>
                <w:sz w:val="18"/>
                <w:u w:val="single"/>
              </w:rPr>
              <w:t>n</w:t>
            </w:r>
            <w:r>
              <w:rPr>
                <w:b/>
                <w:i/>
                <w:spacing w:val="16"/>
                <w:sz w:val="18"/>
                <w:u w:val="single"/>
              </w:rPr>
              <w:t> </w:t>
            </w:r>
            <w:r>
              <w:rPr>
                <w:b/>
                <w:spacing w:val="-5"/>
                <w:sz w:val="18"/>
                <w:u w:val="single"/>
              </w:rPr>
              <w:t>(%)</w:t>
            </w:r>
            <w:r>
              <w:rPr>
                <w:b/>
                <w:sz w:val="18"/>
                <w:u w:val="single"/>
              </w:rPr>
              <w:tab/>
            </w:r>
          </w:p>
        </w:tc>
        <w:tc>
          <w:tcPr>
            <w:tcW w:w="989" w:type="dxa"/>
          </w:tcPr>
          <w:p>
            <w:pPr>
              <w:pStyle w:val="TableParagraph"/>
              <w:spacing w:line="199" w:lineRule="exact"/>
              <w:ind w:left="342"/>
              <w:jc w:val="left"/>
              <w:rPr>
                <w:b/>
                <w:sz w:val="18"/>
              </w:rPr>
            </w:pPr>
            <w:r>
              <w:rPr>
                <w:b/>
                <w:spacing w:val="-5"/>
                <w:sz w:val="18"/>
              </w:rPr>
              <w:t>MD</w:t>
            </w:r>
          </w:p>
          <w:p>
            <w:pPr>
              <w:pStyle w:val="TableParagraph"/>
              <w:tabs>
                <w:tab w:pos="1801" w:val="left" w:leader="none"/>
              </w:tabs>
              <w:spacing w:line="195" w:lineRule="exact"/>
              <w:ind w:left="270" w:right="-821"/>
              <w:jc w:val="left"/>
              <w:rPr>
                <w:b/>
                <w:sz w:val="18"/>
              </w:rPr>
            </w:pPr>
            <w:r>
              <w:rPr>
                <w:b/>
                <w:i/>
                <w:sz w:val="18"/>
                <w:u w:val="single"/>
              </w:rPr>
              <w:t>n</w:t>
            </w:r>
            <w:r>
              <w:rPr>
                <w:b/>
                <w:i/>
                <w:spacing w:val="1"/>
                <w:sz w:val="18"/>
                <w:u w:val="single"/>
              </w:rPr>
              <w:t> </w:t>
            </w:r>
            <w:r>
              <w:rPr>
                <w:b/>
                <w:spacing w:val="-5"/>
                <w:sz w:val="18"/>
                <w:u w:val="single"/>
              </w:rPr>
              <w:t>(%)</w:t>
            </w:r>
            <w:r>
              <w:rPr>
                <w:b/>
                <w:sz w:val="18"/>
                <w:u w:val="single"/>
              </w:rPr>
              <w:tab/>
            </w:r>
          </w:p>
        </w:tc>
        <w:tc>
          <w:tcPr>
            <w:tcW w:w="738" w:type="dxa"/>
          </w:tcPr>
          <w:p>
            <w:pPr>
              <w:pStyle w:val="TableParagraph"/>
              <w:spacing w:before="95"/>
              <w:ind w:left="75" w:right="7"/>
              <w:rPr>
                <w:b/>
                <w:sz w:val="18"/>
              </w:rPr>
            </w:pPr>
            <w:r>
              <w:rPr>
                <w:b/>
                <w:spacing w:val="-2"/>
                <w:sz w:val="18"/>
              </w:rPr>
              <w:t>p-</w:t>
            </w:r>
            <w:r>
              <w:rPr>
                <w:b/>
                <w:spacing w:val="-4"/>
                <w:sz w:val="18"/>
              </w:rPr>
              <w:t>value</w:t>
            </w:r>
          </w:p>
        </w:tc>
      </w:tr>
      <w:tr>
        <w:trPr>
          <w:trHeight w:val="637" w:hRule="atLeast"/>
        </w:trPr>
        <w:tc>
          <w:tcPr>
            <w:tcW w:w="2014" w:type="dxa"/>
          </w:tcPr>
          <w:p>
            <w:pPr>
              <w:pStyle w:val="TableParagraph"/>
              <w:ind w:left="50"/>
              <w:jc w:val="left"/>
              <w:rPr>
                <w:sz w:val="18"/>
              </w:rPr>
            </w:pPr>
            <w:r>
              <w:rPr>
                <w:sz w:val="18"/>
              </w:rPr>
              <w:t>Do</w:t>
            </w:r>
            <w:r>
              <w:rPr>
                <w:spacing w:val="-1"/>
                <w:sz w:val="18"/>
              </w:rPr>
              <w:t> </w:t>
            </w:r>
            <w:r>
              <w:rPr>
                <w:sz w:val="18"/>
              </w:rPr>
              <w:t>you personally</w:t>
            </w:r>
            <w:r>
              <w:rPr>
                <w:spacing w:val="-5"/>
                <w:sz w:val="18"/>
              </w:rPr>
              <w:t> do</w:t>
            </w:r>
          </w:p>
          <w:p>
            <w:pPr>
              <w:pStyle w:val="TableParagraph"/>
              <w:spacing w:line="206" w:lineRule="exact"/>
              <w:ind w:left="50" w:right="95"/>
              <w:jc w:val="left"/>
              <w:rPr>
                <w:sz w:val="18"/>
              </w:rPr>
            </w:pPr>
            <w:r>
              <w:rPr>
                <w:sz w:val="18"/>
              </w:rPr>
              <w:t>anything to protect yourself</w:t>
            </w:r>
            <w:r>
              <w:rPr>
                <w:spacing w:val="-12"/>
                <w:sz w:val="18"/>
              </w:rPr>
              <w:t> </w:t>
            </w:r>
            <w:r>
              <w:rPr>
                <w:sz w:val="18"/>
              </w:rPr>
              <w:t>from</w:t>
            </w:r>
            <w:r>
              <w:rPr>
                <w:spacing w:val="-11"/>
                <w:sz w:val="18"/>
              </w:rPr>
              <w:t> </w:t>
            </w:r>
            <w:r>
              <w:rPr>
                <w:sz w:val="18"/>
              </w:rPr>
              <w:t>the</w:t>
            </w:r>
            <w:r>
              <w:rPr>
                <w:spacing w:val="-11"/>
                <w:sz w:val="18"/>
              </w:rPr>
              <w:t> </w:t>
            </w:r>
            <w:r>
              <w:rPr>
                <w:sz w:val="18"/>
              </w:rPr>
              <w:t>sun?</w:t>
            </w:r>
          </w:p>
        </w:tc>
        <w:tc>
          <w:tcPr>
            <w:tcW w:w="1006" w:type="dxa"/>
          </w:tcPr>
          <w:p>
            <w:pPr>
              <w:pStyle w:val="TableParagraph"/>
              <w:spacing w:before="2"/>
              <w:jc w:val="left"/>
              <w:rPr>
                <w:b/>
                <w:sz w:val="18"/>
              </w:rPr>
            </w:pPr>
          </w:p>
          <w:p>
            <w:pPr>
              <w:pStyle w:val="TableParagraph"/>
              <w:ind w:left="18" w:right="2"/>
              <w:rPr>
                <w:sz w:val="18"/>
              </w:rPr>
            </w:pPr>
            <w:r>
              <w:rPr>
                <w:sz w:val="18"/>
              </w:rPr>
              <w:t>82</w:t>
            </w:r>
            <w:r>
              <w:rPr>
                <w:spacing w:val="2"/>
                <w:sz w:val="18"/>
              </w:rPr>
              <w:t> </w:t>
            </w:r>
            <w:r>
              <w:rPr>
                <w:spacing w:val="-2"/>
                <w:sz w:val="18"/>
              </w:rPr>
              <w:t>(46.3)</w:t>
            </w:r>
          </w:p>
        </w:tc>
        <w:tc>
          <w:tcPr>
            <w:tcW w:w="989" w:type="dxa"/>
          </w:tcPr>
          <w:p>
            <w:pPr>
              <w:pStyle w:val="TableParagraph"/>
              <w:spacing w:before="2"/>
              <w:jc w:val="left"/>
              <w:rPr>
                <w:b/>
                <w:sz w:val="18"/>
              </w:rPr>
            </w:pPr>
          </w:p>
          <w:p>
            <w:pPr>
              <w:pStyle w:val="TableParagraph"/>
              <w:ind w:left="2" w:right="1"/>
              <w:rPr>
                <w:sz w:val="18"/>
              </w:rPr>
            </w:pPr>
            <w:r>
              <w:rPr>
                <w:sz w:val="18"/>
              </w:rPr>
              <w:t>111</w:t>
            </w:r>
            <w:r>
              <w:rPr>
                <w:spacing w:val="-1"/>
                <w:sz w:val="18"/>
              </w:rPr>
              <w:t> </w:t>
            </w:r>
            <w:r>
              <w:rPr>
                <w:spacing w:val="-2"/>
                <w:sz w:val="18"/>
              </w:rPr>
              <w:t>(66.1)</w:t>
            </w:r>
          </w:p>
        </w:tc>
        <w:tc>
          <w:tcPr>
            <w:tcW w:w="738" w:type="dxa"/>
          </w:tcPr>
          <w:p>
            <w:pPr>
              <w:pStyle w:val="TableParagraph"/>
              <w:spacing w:before="2"/>
              <w:jc w:val="left"/>
              <w:rPr>
                <w:b/>
                <w:sz w:val="18"/>
              </w:rPr>
            </w:pPr>
          </w:p>
          <w:p>
            <w:pPr>
              <w:pStyle w:val="TableParagraph"/>
              <w:ind w:left="75" w:right="3"/>
              <w:rPr>
                <w:sz w:val="18"/>
              </w:rPr>
            </w:pPr>
            <w:r>
              <w:rPr>
                <w:sz w:val="18"/>
              </w:rPr>
              <w:t>&lt;</w:t>
            </w:r>
            <w:r>
              <w:rPr>
                <w:spacing w:val="-1"/>
                <w:sz w:val="18"/>
              </w:rPr>
              <w:t> </w:t>
            </w:r>
            <w:r>
              <w:rPr>
                <w:spacing w:val="-4"/>
                <w:sz w:val="18"/>
              </w:rPr>
              <w:t>0.001</w:t>
            </w:r>
          </w:p>
        </w:tc>
      </w:tr>
      <w:tr>
        <w:trPr>
          <w:trHeight w:val="229" w:hRule="atLeast"/>
        </w:trPr>
        <w:tc>
          <w:tcPr>
            <w:tcW w:w="4747" w:type="dxa"/>
            <w:gridSpan w:val="4"/>
          </w:tcPr>
          <w:p>
            <w:pPr>
              <w:pStyle w:val="TableParagraph"/>
              <w:spacing w:line="203" w:lineRule="exact" w:before="6"/>
              <w:ind w:left="50"/>
              <w:jc w:val="left"/>
              <w:rPr>
                <w:sz w:val="18"/>
              </w:rPr>
            </w:pPr>
            <w:r>
              <w:rPr>
                <w:sz w:val="18"/>
              </w:rPr>
              <w:t>What</w:t>
            </w:r>
            <w:r>
              <w:rPr>
                <w:spacing w:val="-2"/>
                <w:sz w:val="18"/>
              </w:rPr>
              <w:t> </w:t>
            </w:r>
            <w:r>
              <w:rPr>
                <w:sz w:val="18"/>
              </w:rPr>
              <w:t>actions</w:t>
            </w:r>
            <w:r>
              <w:rPr>
                <w:spacing w:val="-1"/>
                <w:sz w:val="18"/>
              </w:rPr>
              <w:t> </w:t>
            </w:r>
            <w:r>
              <w:rPr>
                <w:sz w:val="18"/>
              </w:rPr>
              <w:t>should</w:t>
            </w:r>
            <w:r>
              <w:rPr>
                <w:spacing w:val="-1"/>
                <w:sz w:val="18"/>
              </w:rPr>
              <w:t> </w:t>
            </w:r>
            <w:r>
              <w:rPr>
                <w:sz w:val="18"/>
              </w:rPr>
              <w:t>you take</w:t>
            </w:r>
            <w:r>
              <w:rPr>
                <w:spacing w:val="-3"/>
                <w:sz w:val="18"/>
              </w:rPr>
              <w:t> </w:t>
            </w:r>
            <w:r>
              <w:rPr>
                <w:sz w:val="18"/>
              </w:rPr>
              <w:t>to reduce</w:t>
            </w:r>
            <w:r>
              <w:rPr>
                <w:spacing w:val="-3"/>
                <w:sz w:val="18"/>
              </w:rPr>
              <w:t> </w:t>
            </w:r>
            <w:r>
              <w:rPr>
                <w:sz w:val="18"/>
              </w:rPr>
              <w:t>the</w:t>
            </w:r>
            <w:r>
              <w:rPr>
                <w:spacing w:val="-2"/>
                <w:sz w:val="18"/>
              </w:rPr>
              <w:t> </w:t>
            </w:r>
            <w:r>
              <w:rPr>
                <w:sz w:val="18"/>
              </w:rPr>
              <w:t>risk</w:t>
            </w:r>
            <w:r>
              <w:rPr>
                <w:spacing w:val="-3"/>
                <w:sz w:val="18"/>
              </w:rPr>
              <w:t> </w:t>
            </w:r>
            <w:r>
              <w:rPr>
                <w:sz w:val="18"/>
              </w:rPr>
              <w:t>of</w:t>
            </w:r>
            <w:r>
              <w:rPr>
                <w:spacing w:val="-3"/>
                <w:sz w:val="18"/>
              </w:rPr>
              <w:t> </w:t>
            </w:r>
            <w:r>
              <w:rPr>
                <w:sz w:val="18"/>
              </w:rPr>
              <w:t>skin </w:t>
            </w:r>
            <w:r>
              <w:rPr>
                <w:spacing w:val="-2"/>
                <w:sz w:val="18"/>
              </w:rPr>
              <w:t>cancer?</w:t>
            </w:r>
          </w:p>
        </w:tc>
      </w:tr>
      <w:tr>
        <w:trPr>
          <w:trHeight w:val="446" w:hRule="atLeast"/>
        </w:trPr>
        <w:tc>
          <w:tcPr>
            <w:tcW w:w="2014" w:type="dxa"/>
          </w:tcPr>
          <w:p>
            <w:pPr>
              <w:pStyle w:val="TableParagraph"/>
              <w:spacing w:before="8"/>
              <w:ind w:left="50" w:right="95"/>
              <w:jc w:val="left"/>
              <w:rPr>
                <w:sz w:val="18"/>
              </w:rPr>
            </w:pPr>
            <w:r>
              <w:rPr>
                <w:sz w:val="18"/>
              </w:rPr>
              <w:t>Use</w:t>
            </w:r>
            <w:r>
              <w:rPr>
                <w:spacing w:val="-12"/>
                <w:sz w:val="18"/>
              </w:rPr>
              <w:t> </w:t>
            </w:r>
            <w:r>
              <w:rPr>
                <w:sz w:val="18"/>
              </w:rPr>
              <w:t>sunscreen</w:t>
            </w:r>
            <w:r>
              <w:rPr>
                <w:spacing w:val="21"/>
                <w:sz w:val="18"/>
              </w:rPr>
              <w:t> </w:t>
            </w:r>
            <w:r>
              <w:rPr>
                <w:sz w:val="18"/>
              </w:rPr>
              <w:t>(SPF below</w:t>
            </w:r>
            <w:r>
              <w:rPr>
                <w:spacing w:val="-2"/>
                <w:sz w:val="18"/>
              </w:rPr>
              <w:t> </w:t>
            </w:r>
            <w:r>
              <w:rPr>
                <w:sz w:val="18"/>
              </w:rPr>
              <w:t>15)</w:t>
            </w:r>
          </w:p>
        </w:tc>
        <w:tc>
          <w:tcPr>
            <w:tcW w:w="1006" w:type="dxa"/>
          </w:tcPr>
          <w:p>
            <w:pPr>
              <w:pStyle w:val="TableParagraph"/>
              <w:spacing w:before="111"/>
              <w:ind w:left="18" w:right="4"/>
              <w:rPr>
                <w:sz w:val="18"/>
              </w:rPr>
            </w:pPr>
            <w:r>
              <w:rPr>
                <w:sz w:val="18"/>
              </w:rPr>
              <w:t>83</w:t>
            </w:r>
            <w:r>
              <w:rPr>
                <w:spacing w:val="2"/>
                <w:sz w:val="18"/>
              </w:rPr>
              <w:t> </w:t>
            </w:r>
            <w:r>
              <w:rPr>
                <w:spacing w:val="-2"/>
                <w:sz w:val="18"/>
              </w:rPr>
              <w:t>(46.9)</w:t>
            </w:r>
          </w:p>
        </w:tc>
        <w:tc>
          <w:tcPr>
            <w:tcW w:w="989" w:type="dxa"/>
          </w:tcPr>
          <w:p>
            <w:pPr>
              <w:pStyle w:val="TableParagraph"/>
              <w:spacing w:before="111"/>
              <w:ind w:left="1" w:right="1"/>
              <w:rPr>
                <w:sz w:val="18"/>
              </w:rPr>
            </w:pPr>
            <w:r>
              <w:rPr>
                <w:sz w:val="18"/>
              </w:rPr>
              <w:t>47</w:t>
            </w:r>
            <w:r>
              <w:rPr>
                <w:spacing w:val="2"/>
                <w:sz w:val="18"/>
              </w:rPr>
              <w:t> </w:t>
            </w:r>
            <w:r>
              <w:rPr>
                <w:spacing w:val="-2"/>
                <w:sz w:val="18"/>
              </w:rPr>
              <w:t>(26.7)</w:t>
            </w:r>
          </w:p>
        </w:tc>
        <w:tc>
          <w:tcPr>
            <w:tcW w:w="738" w:type="dxa"/>
          </w:tcPr>
          <w:p>
            <w:pPr>
              <w:pStyle w:val="TableParagraph"/>
              <w:spacing w:before="111"/>
              <w:ind w:left="75" w:right="1"/>
              <w:rPr>
                <w:sz w:val="18"/>
              </w:rPr>
            </w:pPr>
            <w:r>
              <w:rPr>
                <w:spacing w:val="-2"/>
                <w:sz w:val="18"/>
              </w:rPr>
              <w:t>&lt;0.001</w:t>
            </w:r>
          </w:p>
        </w:tc>
      </w:tr>
      <w:tr>
        <w:trPr>
          <w:trHeight w:val="272" w:hRule="atLeast"/>
        </w:trPr>
        <w:tc>
          <w:tcPr>
            <w:tcW w:w="2014" w:type="dxa"/>
          </w:tcPr>
          <w:p>
            <w:pPr>
              <w:pStyle w:val="TableParagraph"/>
              <w:spacing w:before="17"/>
              <w:ind w:left="50"/>
              <w:jc w:val="left"/>
              <w:rPr>
                <w:sz w:val="18"/>
              </w:rPr>
            </w:pPr>
            <w:r>
              <w:rPr>
                <w:sz w:val="18"/>
              </w:rPr>
              <w:t>Use</w:t>
            </w:r>
            <w:r>
              <w:rPr>
                <w:spacing w:val="-3"/>
                <w:sz w:val="18"/>
              </w:rPr>
              <w:t> </w:t>
            </w:r>
            <w:r>
              <w:rPr>
                <w:sz w:val="18"/>
              </w:rPr>
              <w:t>sunscreen (SPF</w:t>
            </w:r>
            <w:r>
              <w:rPr>
                <w:spacing w:val="-3"/>
                <w:sz w:val="18"/>
              </w:rPr>
              <w:t> </w:t>
            </w:r>
            <w:r>
              <w:rPr>
                <w:spacing w:val="-4"/>
                <w:sz w:val="18"/>
              </w:rPr>
              <w:t>15+)</w:t>
            </w:r>
          </w:p>
        </w:tc>
        <w:tc>
          <w:tcPr>
            <w:tcW w:w="1006" w:type="dxa"/>
          </w:tcPr>
          <w:p>
            <w:pPr>
              <w:pStyle w:val="TableParagraph"/>
              <w:spacing w:before="17"/>
              <w:ind w:left="18"/>
              <w:rPr>
                <w:sz w:val="18"/>
              </w:rPr>
            </w:pPr>
            <w:r>
              <w:rPr>
                <w:sz w:val="18"/>
              </w:rPr>
              <w:t>162</w:t>
            </w:r>
            <w:r>
              <w:rPr>
                <w:spacing w:val="-1"/>
                <w:sz w:val="18"/>
              </w:rPr>
              <w:t> </w:t>
            </w:r>
            <w:r>
              <w:rPr>
                <w:spacing w:val="-2"/>
                <w:sz w:val="18"/>
              </w:rPr>
              <w:t>(90.5)</w:t>
            </w:r>
          </w:p>
        </w:tc>
        <w:tc>
          <w:tcPr>
            <w:tcW w:w="989" w:type="dxa"/>
          </w:tcPr>
          <w:p>
            <w:pPr>
              <w:pStyle w:val="TableParagraph"/>
              <w:spacing w:before="17"/>
              <w:ind w:left="2" w:right="1"/>
              <w:rPr>
                <w:sz w:val="18"/>
              </w:rPr>
            </w:pPr>
            <w:r>
              <w:rPr>
                <w:sz w:val="18"/>
              </w:rPr>
              <w:t>130</w:t>
            </w:r>
            <w:r>
              <w:rPr>
                <w:spacing w:val="-1"/>
                <w:sz w:val="18"/>
              </w:rPr>
              <w:t> </w:t>
            </w:r>
            <w:r>
              <w:rPr>
                <w:spacing w:val="-2"/>
                <w:sz w:val="18"/>
              </w:rPr>
              <w:t>(73.0)</w:t>
            </w:r>
          </w:p>
        </w:tc>
        <w:tc>
          <w:tcPr>
            <w:tcW w:w="738" w:type="dxa"/>
          </w:tcPr>
          <w:p>
            <w:pPr>
              <w:pStyle w:val="TableParagraph"/>
              <w:spacing w:before="17"/>
              <w:ind w:left="75" w:right="1"/>
              <w:rPr>
                <w:sz w:val="18"/>
              </w:rPr>
            </w:pPr>
            <w:r>
              <w:rPr>
                <w:spacing w:val="-2"/>
                <w:sz w:val="18"/>
              </w:rPr>
              <w:t>&lt;0.001</w:t>
            </w:r>
          </w:p>
        </w:tc>
      </w:tr>
      <w:tr>
        <w:trPr>
          <w:trHeight w:val="301" w:hRule="atLeast"/>
        </w:trPr>
        <w:tc>
          <w:tcPr>
            <w:tcW w:w="2014" w:type="dxa"/>
          </w:tcPr>
          <w:p>
            <w:pPr>
              <w:pStyle w:val="TableParagraph"/>
              <w:spacing w:before="40"/>
              <w:ind w:left="50"/>
              <w:jc w:val="left"/>
              <w:rPr>
                <w:sz w:val="18"/>
              </w:rPr>
            </w:pPr>
            <w:r>
              <w:rPr>
                <w:sz w:val="18"/>
              </w:rPr>
              <w:t>Stay</w:t>
            </w:r>
            <w:r>
              <w:rPr>
                <w:spacing w:val="-6"/>
                <w:sz w:val="18"/>
              </w:rPr>
              <w:t> </w:t>
            </w:r>
            <w:r>
              <w:rPr>
                <w:sz w:val="18"/>
              </w:rPr>
              <w:t>in</w:t>
            </w:r>
            <w:r>
              <w:rPr>
                <w:spacing w:val="1"/>
                <w:sz w:val="18"/>
              </w:rPr>
              <w:t> </w:t>
            </w:r>
            <w:r>
              <w:rPr>
                <w:sz w:val="18"/>
              </w:rPr>
              <w:t>the</w:t>
            </w:r>
            <w:r>
              <w:rPr>
                <w:spacing w:val="-1"/>
                <w:sz w:val="18"/>
              </w:rPr>
              <w:t> </w:t>
            </w:r>
            <w:r>
              <w:rPr>
                <w:spacing w:val="-2"/>
                <w:sz w:val="18"/>
              </w:rPr>
              <w:t>shade</w:t>
            </w:r>
          </w:p>
        </w:tc>
        <w:tc>
          <w:tcPr>
            <w:tcW w:w="1006" w:type="dxa"/>
          </w:tcPr>
          <w:p>
            <w:pPr>
              <w:pStyle w:val="TableParagraph"/>
              <w:spacing w:before="40"/>
              <w:ind w:left="18"/>
              <w:rPr>
                <w:sz w:val="18"/>
              </w:rPr>
            </w:pPr>
            <w:r>
              <w:rPr>
                <w:sz w:val="18"/>
              </w:rPr>
              <w:t>139</w:t>
            </w:r>
            <w:r>
              <w:rPr>
                <w:spacing w:val="-1"/>
                <w:sz w:val="18"/>
              </w:rPr>
              <w:t> </w:t>
            </w:r>
            <w:r>
              <w:rPr>
                <w:spacing w:val="-2"/>
                <w:sz w:val="18"/>
              </w:rPr>
              <w:t>(80.8)</w:t>
            </w:r>
          </w:p>
        </w:tc>
        <w:tc>
          <w:tcPr>
            <w:tcW w:w="989" w:type="dxa"/>
          </w:tcPr>
          <w:p>
            <w:pPr>
              <w:pStyle w:val="TableParagraph"/>
              <w:spacing w:before="40"/>
              <w:ind w:left="1" w:right="2"/>
              <w:rPr>
                <w:sz w:val="18"/>
              </w:rPr>
            </w:pPr>
            <w:r>
              <w:rPr>
                <w:sz w:val="18"/>
              </w:rPr>
              <w:t>86</w:t>
            </w:r>
            <w:r>
              <w:rPr>
                <w:spacing w:val="2"/>
                <w:sz w:val="18"/>
              </w:rPr>
              <w:t> </w:t>
            </w:r>
            <w:r>
              <w:rPr>
                <w:spacing w:val="-2"/>
                <w:sz w:val="18"/>
              </w:rPr>
              <w:t>(50.3)</w:t>
            </w:r>
          </w:p>
        </w:tc>
        <w:tc>
          <w:tcPr>
            <w:tcW w:w="738" w:type="dxa"/>
          </w:tcPr>
          <w:p>
            <w:pPr>
              <w:pStyle w:val="TableParagraph"/>
              <w:spacing w:before="40"/>
              <w:ind w:left="75" w:right="2"/>
              <w:rPr>
                <w:sz w:val="18"/>
              </w:rPr>
            </w:pPr>
            <w:r>
              <w:rPr>
                <w:spacing w:val="-2"/>
                <w:sz w:val="18"/>
              </w:rPr>
              <w:t>&lt;0.001</w:t>
            </w:r>
          </w:p>
        </w:tc>
      </w:tr>
      <w:tr>
        <w:trPr>
          <w:trHeight w:val="281" w:hRule="atLeast"/>
        </w:trPr>
        <w:tc>
          <w:tcPr>
            <w:tcW w:w="2014" w:type="dxa"/>
          </w:tcPr>
          <w:p>
            <w:pPr>
              <w:pStyle w:val="TableParagraph"/>
              <w:spacing w:before="46"/>
              <w:ind w:left="50"/>
              <w:jc w:val="left"/>
              <w:rPr>
                <w:sz w:val="18"/>
              </w:rPr>
            </w:pPr>
            <w:r>
              <w:rPr>
                <w:sz w:val="18"/>
              </w:rPr>
              <w:t>Cover</w:t>
            </w:r>
            <w:r>
              <w:rPr>
                <w:spacing w:val="-4"/>
                <w:sz w:val="18"/>
              </w:rPr>
              <w:t> </w:t>
            </w:r>
            <w:r>
              <w:rPr>
                <w:sz w:val="18"/>
              </w:rPr>
              <w:t>up exposed</w:t>
            </w:r>
            <w:r>
              <w:rPr>
                <w:spacing w:val="-2"/>
                <w:sz w:val="18"/>
              </w:rPr>
              <w:t> </w:t>
            </w:r>
            <w:r>
              <w:rPr>
                <w:spacing w:val="-4"/>
                <w:sz w:val="18"/>
              </w:rPr>
              <w:t>skin</w:t>
            </w:r>
          </w:p>
        </w:tc>
        <w:tc>
          <w:tcPr>
            <w:tcW w:w="1006" w:type="dxa"/>
          </w:tcPr>
          <w:p>
            <w:pPr>
              <w:pStyle w:val="TableParagraph"/>
              <w:spacing w:before="46"/>
              <w:ind w:left="18"/>
              <w:rPr>
                <w:sz w:val="18"/>
              </w:rPr>
            </w:pPr>
            <w:r>
              <w:rPr>
                <w:sz w:val="18"/>
              </w:rPr>
              <w:t>136</w:t>
            </w:r>
            <w:r>
              <w:rPr>
                <w:spacing w:val="-1"/>
                <w:sz w:val="18"/>
              </w:rPr>
              <w:t> </w:t>
            </w:r>
            <w:r>
              <w:rPr>
                <w:spacing w:val="-2"/>
                <w:sz w:val="18"/>
              </w:rPr>
              <w:t>(76.0)</w:t>
            </w:r>
          </w:p>
        </w:tc>
        <w:tc>
          <w:tcPr>
            <w:tcW w:w="989" w:type="dxa"/>
          </w:tcPr>
          <w:p>
            <w:pPr>
              <w:pStyle w:val="TableParagraph"/>
              <w:spacing w:before="46"/>
              <w:ind w:left="2" w:right="1"/>
              <w:rPr>
                <w:sz w:val="18"/>
              </w:rPr>
            </w:pPr>
            <w:r>
              <w:rPr>
                <w:sz w:val="18"/>
              </w:rPr>
              <w:t>120</w:t>
            </w:r>
            <w:r>
              <w:rPr>
                <w:spacing w:val="-1"/>
                <w:sz w:val="18"/>
              </w:rPr>
              <w:t> </w:t>
            </w:r>
            <w:r>
              <w:rPr>
                <w:spacing w:val="-2"/>
                <w:sz w:val="18"/>
              </w:rPr>
              <w:t>(68.6)</w:t>
            </w:r>
          </w:p>
        </w:tc>
        <w:tc>
          <w:tcPr>
            <w:tcW w:w="738" w:type="dxa"/>
          </w:tcPr>
          <w:p>
            <w:pPr>
              <w:pStyle w:val="TableParagraph"/>
              <w:spacing w:before="46"/>
              <w:ind w:left="75" w:right="3"/>
              <w:rPr>
                <w:sz w:val="18"/>
              </w:rPr>
            </w:pPr>
            <w:r>
              <w:rPr>
                <w:spacing w:val="-4"/>
                <w:sz w:val="18"/>
              </w:rPr>
              <w:t>0.12</w:t>
            </w:r>
          </w:p>
        </w:tc>
      </w:tr>
      <w:tr>
        <w:trPr>
          <w:trHeight w:val="675" w:hRule="atLeast"/>
        </w:trPr>
        <w:tc>
          <w:tcPr>
            <w:tcW w:w="2014" w:type="dxa"/>
          </w:tcPr>
          <w:p>
            <w:pPr>
              <w:pStyle w:val="TableParagraph"/>
              <w:spacing w:before="21"/>
              <w:ind w:left="50" w:right="393"/>
              <w:jc w:val="both"/>
              <w:rPr>
                <w:sz w:val="18"/>
              </w:rPr>
            </w:pPr>
            <w:r>
              <w:rPr>
                <w:sz w:val="18"/>
              </w:rPr>
              <w:t>Avoid</w:t>
            </w:r>
            <w:r>
              <w:rPr>
                <w:spacing w:val="-12"/>
                <w:sz w:val="18"/>
              </w:rPr>
              <w:t> </w:t>
            </w:r>
            <w:r>
              <w:rPr>
                <w:sz w:val="18"/>
              </w:rPr>
              <w:t>sun’s</w:t>
            </w:r>
            <w:r>
              <w:rPr>
                <w:spacing w:val="-11"/>
                <w:sz w:val="18"/>
              </w:rPr>
              <w:t> </w:t>
            </w:r>
            <w:r>
              <w:rPr>
                <w:sz w:val="18"/>
              </w:rPr>
              <w:t>strongest reflection</w:t>
            </w:r>
            <w:r>
              <w:rPr>
                <w:spacing w:val="-8"/>
                <w:sz w:val="18"/>
              </w:rPr>
              <w:t> </w:t>
            </w:r>
            <w:r>
              <w:rPr>
                <w:sz w:val="18"/>
              </w:rPr>
              <w:t>10:00am</w:t>
            </w:r>
            <w:r>
              <w:rPr>
                <w:spacing w:val="-11"/>
                <w:sz w:val="18"/>
              </w:rPr>
              <w:t> </w:t>
            </w:r>
            <w:r>
              <w:rPr>
                <w:sz w:val="18"/>
              </w:rPr>
              <w:t>to </w:t>
            </w:r>
            <w:r>
              <w:rPr>
                <w:spacing w:val="-2"/>
                <w:sz w:val="18"/>
              </w:rPr>
              <w:t>3:00pm</w:t>
            </w:r>
          </w:p>
        </w:tc>
        <w:tc>
          <w:tcPr>
            <w:tcW w:w="1006" w:type="dxa"/>
          </w:tcPr>
          <w:p>
            <w:pPr>
              <w:pStyle w:val="TableParagraph"/>
              <w:spacing w:before="22"/>
              <w:jc w:val="left"/>
              <w:rPr>
                <w:b/>
                <w:sz w:val="18"/>
              </w:rPr>
            </w:pPr>
          </w:p>
          <w:p>
            <w:pPr>
              <w:pStyle w:val="TableParagraph"/>
              <w:spacing w:before="1"/>
              <w:ind w:left="18"/>
              <w:rPr>
                <w:sz w:val="18"/>
              </w:rPr>
            </w:pPr>
            <w:r>
              <w:rPr>
                <w:sz w:val="18"/>
              </w:rPr>
              <w:t>131</w:t>
            </w:r>
            <w:r>
              <w:rPr>
                <w:spacing w:val="-1"/>
                <w:sz w:val="18"/>
              </w:rPr>
              <w:t> </w:t>
            </w:r>
            <w:r>
              <w:rPr>
                <w:spacing w:val="-2"/>
                <w:sz w:val="18"/>
              </w:rPr>
              <w:t>(74.0)</w:t>
            </w:r>
          </w:p>
        </w:tc>
        <w:tc>
          <w:tcPr>
            <w:tcW w:w="989" w:type="dxa"/>
          </w:tcPr>
          <w:p>
            <w:pPr>
              <w:pStyle w:val="TableParagraph"/>
              <w:spacing w:before="22"/>
              <w:jc w:val="left"/>
              <w:rPr>
                <w:b/>
                <w:sz w:val="18"/>
              </w:rPr>
            </w:pPr>
          </w:p>
          <w:p>
            <w:pPr>
              <w:pStyle w:val="TableParagraph"/>
              <w:spacing w:before="1"/>
              <w:ind w:left="1" w:right="2"/>
              <w:rPr>
                <w:sz w:val="18"/>
              </w:rPr>
            </w:pPr>
            <w:r>
              <w:rPr>
                <w:sz w:val="18"/>
              </w:rPr>
              <w:t>81</w:t>
            </w:r>
            <w:r>
              <w:rPr>
                <w:spacing w:val="2"/>
                <w:sz w:val="18"/>
              </w:rPr>
              <w:t> </w:t>
            </w:r>
            <w:r>
              <w:rPr>
                <w:spacing w:val="-2"/>
                <w:sz w:val="18"/>
              </w:rPr>
              <w:t>(46.3)</w:t>
            </w:r>
          </w:p>
        </w:tc>
        <w:tc>
          <w:tcPr>
            <w:tcW w:w="738" w:type="dxa"/>
          </w:tcPr>
          <w:p>
            <w:pPr>
              <w:pStyle w:val="TableParagraph"/>
              <w:spacing w:before="22"/>
              <w:jc w:val="left"/>
              <w:rPr>
                <w:b/>
                <w:sz w:val="18"/>
              </w:rPr>
            </w:pPr>
          </w:p>
          <w:p>
            <w:pPr>
              <w:pStyle w:val="TableParagraph"/>
              <w:spacing w:before="1"/>
              <w:ind w:left="75" w:right="2"/>
              <w:rPr>
                <w:sz w:val="18"/>
              </w:rPr>
            </w:pPr>
            <w:r>
              <w:rPr>
                <w:spacing w:val="-2"/>
                <w:sz w:val="18"/>
              </w:rPr>
              <w:t>&lt;0.001</w:t>
            </w:r>
          </w:p>
        </w:tc>
      </w:tr>
      <w:tr>
        <w:trPr>
          <w:trHeight w:val="265" w:hRule="atLeast"/>
        </w:trPr>
        <w:tc>
          <w:tcPr>
            <w:tcW w:w="4747" w:type="dxa"/>
            <w:gridSpan w:val="4"/>
          </w:tcPr>
          <w:p>
            <w:pPr>
              <w:pStyle w:val="TableParagraph"/>
              <w:spacing w:before="24"/>
              <w:ind w:left="50"/>
              <w:jc w:val="left"/>
              <w:rPr>
                <w:sz w:val="18"/>
              </w:rPr>
            </w:pPr>
            <w:r>
              <w:rPr>
                <w:sz w:val="18"/>
              </w:rPr>
              <w:t>What</w:t>
            </w:r>
            <w:r>
              <w:rPr>
                <w:spacing w:val="-2"/>
                <w:sz w:val="18"/>
              </w:rPr>
              <w:t> </w:t>
            </w:r>
            <w:r>
              <w:rPr>
                <w:sz w:val="18"/>
              </w:rPr>
              <w:t>actions</w:t>
            </w:r>
            <w:r>
              <w:rPr>
                <w:spacing w:val="-2"/>
                <w:sz w:val="18"/>
              </w:rPr>
              <w:t> </w:t>
            </w:r>
            <w:r>
              <w:rPr>
                <w:sz w:val="18"/>
              </w:rPr>
              <w:t>do</w:t>
            </w:r>
            <w:r>
              <w:rPr>
                <w:spacing w:val="-1"/>
                <w:sz w:val="18"/>
              </w:rPr>
              <w:t> </w:t>
            </w:r>
            <w:r>
              <w:rPr>
                <w:sz w:val="18"/>
              </w:rPr>
              <w:t>you take</w:t>
            </w:r>
            <w:r>
              <w:rPr>
                <w:spacing w:val="-3"/>
                <w:sz w:val="18"/>
              </w:rPr>
              <w:t> </w:t>
            </w:r>
            <w:r>
              <w:rPr>
                <w:sz w:val="18"/>
              </w:rPr>
              <w:t>to</w:t>
            </w:r>
            <w:r>
              <w:rPr>
                <w:spacing w:val="-1"/>
                <w:sz w:val="18"/>
              </w:rPr>
              <w:t> </w:t>
            </w:r>
            <w:r>
              <w:rPr>
                <w:sz w:val="18"/>
              </w:rPr>
              <w:t>protect</w:t>
            </w:r>
            <w:r>
              <w:rPr>
                <w:spacing w:val="-2"/>
                <w:sz w:val="18"/>
              </w:rPr>
              <w:t> </w:t>
            </w:r>
            <w:r>
              <w:rPr>
                <w:sz w:val="18"/>
              </w:rPr>
              <w:t>yourself</w:t>
            </w:r>
            <w:r>
              <w:rPr>
                <w:spacing w:val="-3"/>
                <w:sz w:val="18"/>
              </w:rPr>
              <w:t> </w:t>
            </w:r>
            <w:r>
              <w:rPr>
                <w:sz w:val="18"/>
              </w:rPr>
              <w:t>from</w:t>
            </w:r>
            <w:r>
              <w:rPr>
                <w:spacing w:val="-5"/>
                <w:sz w:val="18"/>
              </w:rPr>
              <w:t> </w:t>
            </w:r>
            <w:r>
              <w:rPr>
                <w:sz w:val="18"/>
              </w:rPr>
              <w:t>the</w:t>
            </w:r>
            <w:r>
              <w:rPr>
                <w:spacing w:val="-2"/>
                <w:sz w:val="18"/>
              </w:rPr>
              <w:t> </w:t>
            </w:r>
            <w:r>
              <w:rPr>
                <w:spacing w:val="-4"/>
                <w:sz w:val="18"/>
              </w:rPr>
              <w:t>sun?</w:t>
            </w:r>
          </w:p>
        </w:tc>
      </w:tr>
      <w:tr>
        <w:trPr>
          <w:trHeight w:val="236" w:hRule="atLeast"/>
        </w:trPr>
        <w:tc>
          <w:tcPr>
            <w:tcW w:w="2014" w:type="dxa"/>
          </w:tcPr>
          <w:p>
            <w:pPr>
              <w:pStyle w:val="TableParagraph"/>
              <w:spacing w:line="191" w:lineRule="exact" w:before="26"/>
              <w:ind w:left="50"/>
              <w:jc w:val="left"/>
              <w:rPr>
                <w:sz w:val="18"/>
              </w:rPr>
            </w:pPr>
            <w:r>
              <w:rPr>
                <w:sz w:val="18"/>
              </w:rPr>
              <w:t>Use</w:t>
            </w:r>
            <w:r>
              <w:rPr>
                <w:spacing w:val="-3"/>
                <w:sz w:val="18"/>
              </w:rPr>
              <w:t> </w:t>
            </w:r>
            <w:r>
              <w:rPr>
                <w:spacing w:val="-2"/>
                <w:sz w:val="18"/>
              </w:rPr>
              <w:t>sunscreen</w:t>
            </w:r>
          </w:p>
        </w:tc>
        <w:tc>
          <w:tcPr>
            <w:tcW w:w="1006" w:type="dxa"/>
          </w:tcPr>
          <w:p>
            <w:pPr>
              <w:pStyle w:val="TableParagraph"/>
              <w:spacing w:line="191" w:lineRule="exact" w:before="26"/>
              <w:ind w:left="18" w:right="2"/>
              <w:rPr>
                <w:sz w:val="18"/>
              </w:rPr>
            </w:pPr>
            <w:r>
              <w:rPr>
                <w:sz w:val="18"/>
              </w:rPr>
              <w:t>88</w:t>
            </w:r>
            <w:r>
              <w:rPr>
                <w:spacing w:val="2"/>
                <w:sz w:val="18"/>
              </w:rPr>
              <w:t> </w:t>
            </w:r>
            <w:r>
              <w:rPr>
                <w:spacing w:val="-2"/>
                <w:sz w:val="18"/>
              </w:rPr>
              <w:t>(49.2)</w:t>
            </w:r>
          </w:p>
        </w:tc>
        <w:tc>
          <w:tcPr>
            <w:tcW w:w="989" w:type="dxa"/>
          </w:tcPr>
          <w:p>
            <w:pPr>
              <w:pStyle w:val="TableParagraph"/>
              <w:spacing w:line="191" w:lineRule="exact" w:before="26"/>
              <w:ind w:left="1" w:right="2"/>
              <w:rPr>
                <w:sz w:val="18"/>
              </w:rPr>
            </w:pPr>
            <w:r>
              <w:rPr>
                <w:sz w:val="18"/>
              </w:rPr>
              <w:t>55</w:t>
            </w:r>
            <w:r>
              <w:rPr>
                <w:spacing w:val="2"/>
                <w:sz w:val="18"/>
              </w:rPr>
              <w:t> </w:t>
            </w:r>
            <w:r>
              <w:rPr>
                <w:spacing w:val="-2"/>
                <w:sz w:val="18"/>
              </w:rPr>
              <w:t>(31.6)</w:t>
            </w:r>
          </w:p>
        </w:tc>
        <w:tc>
          <w:tcPr>
            <w:tcW w:w="738" w:type="dxa"/>
          </w:tcPr>
          <w:p>
            <w:pPr>
              <w:pStyle w:val="TableParagraph"/>
              <w:spacing w:line="191" w:lineRule="exact" w:before="26"/>
              <w:ind w:left="75"/>
              <w:rPr>
                <w:sz w:val="18"/>
              </w:rPr>
            </w:pPr>
            <w:r>
              <w:rPr>
                <w:spacing w:val="-2"/>
                <w:sz w:val="18"/>
              </w:rPr>
              <w:t>0.001</w:t>
            </w:r>
          </w:p>
        </w:tc>
      </w:tr>
      <w:tr>
        <w:trPr>
          <w:trHeight w:val="217" w:hRule="atLeast"/>
        </w:trPr>
        <w:tc>
          <w:tcPr>
            <w:tcW w:w="2014" w:type="dxa"/>
          </w:tcPr>
          <w:p>
            <w:pPr>
              <w:pStyle w:val="TableParagraph"/>
              <w:spacing w:line="197" w:lineRule="exact"/>
              <w:ind w:left="50"/>
              <w:jc w:val="left"/>
              <w:rPr>
                <w:sz w:val="18"/>
              </w:rPr>
            </w:pPr>
            <w:r>
              <w:rPr>
                <w:sz w:val="18"/>
              </w:rPr>
              <w:t>Stay</w:t>
            </w:r>
            <w:r>
              <w:rPr>
                <w:spacing w:val="-5"/>
                <w:sz w:val="18"/>
              </w:rPr>
              <w:t> </w:t>
            </w:r>
            <w:r>
              <w:rPr>
                <w:sz w:val="18"/>
              </w:rPr>
              <w:t>in</w:t>
            </w:r>
            <w:r>
              <w:rPr>
                <w:spacing w:val="1"/>
                <w:sz w:val="18"/>
              </w:rPr>
              <w:t> </w:t>
            </w:r>
            <w:r>
              <w:rPr>
                <w:spacing w:val="-2"/>
                <w:sz w:val="18"/>
              </w:rPr>
              <w:t>shade</w:t>
            </w:r>
          </w:p>
        </w:tc>
        <w:tc>
          <w:tcPr>
            <w:tcW w:w="1006" w:type="dxa"/>
          </w:tcPr>
          <w:p>
            <w:pPr>
              <w:pStyle w:val="TableParagraph"/>
              <w:spacing w:line="197" w:lineRule="exact"/>
              <w:ind w:left="18"/>
              <w:rPr>
                <w:sz w:val="18"/>
              </w:rPr>
            </w:pPr>
            <w:r>
              <w:rPr>
                <w:sz w:val="18"/>
              </w:rPr>
              <w:t>125</w:t>
            </w:r>
            <w:r>
              <w:rPr>
                <w:spacing w:val="-1"/>
                <w:sz w:val="18"/>
              </w:rPr>
              <w:t> </w:t>
            </w:r>
            <w:r>
              <w:rPr>
                <w:spacing w:val="-2"/>
                <w:sz w:val="18"/>
              </w:rPr>
              <w:t>(69.8)</w:t>
            </w:r>
          </w:p>
        </w:tc>
        <w:tc>
          <w:tcPr>
            <w:tcW w:w="989" w:type="dxa"/>
          </w:tcPr>
          <w:p>
            <w:pPr>
              <w:pStyle w:val="TableParagraph"/>
              <w:spacing w:line="197" w:lineRule="exact"/>
              <w:ind w:left="2" w:right="1"/>
              <w:rPr>
                <w:sz w:val="18"/>
              </w:rPr>
            </w:pPr>
            <w:r>
              <w:rPr>
                <w:sz w:val="18"/>
              </w:rPr>
              <w:t>136</w:t>
            </w:r>
            <w:r>
              <w:rPr>
                <w:spacing w:val="-1"/>
                <w:sz w:val="18"/>
              </w:rPr>
              <w:t> </w:t>
            </w:r>
            <w:r>
              <w:rPr>
                <w:spacing w:val="-2"/>
                <w:sz w:val="18"/>
              </w:rPr>
              <w:t>(78.2)</w:t>
            </w:r>
          </w:p>
        </w:tc>
        <w:tc>
          <w:tcPr>
            <w:tcW w:w="738" w:type="dxa"/>
          </w:tcPr>
          <w:p>
            <w:pPr>
              <w:pStyle w:val="TableParagraph"/>
              <w:spacing w:line="197" w:lineRule="exact"/>
              <w:ind w:left="75"/>
              <w:rPr>
                <w:sz w:val="18"/>
              </w:rPr>
            </w:pPr>
            <w:r>
              <w:rPr>
                <w:spacing w:val="-2"/>
                <w:sz w:val="18"/>
              </w:rPr>
              <w:t>0.075</w:t>
            </w:r>
          </w:p>
        </w:tc>
      </w:tr>
      <w:tr>
        <w:trPr>
          <w:trHeight w:val="224" w:hRule="atLeast"/>
        </w:trPr>
        <w:tc>
          <w:tcPr>
            <w:tcW w:w="2014" w:type="dxa"/>
          </w:tcPr>
          <w:p>
            <w:pPr>
              <w:pStyle w:val="TableParagraph"/>
              <w:spacing w:line="198" w:lineRule="exact" w:before="6"/>
              <w:ind w:left="50"/>
              <w:jc w:val="left"/>
              <w:rPr>
                <w:sz w:val="18"/>
              </w:rPr>
            </w:pPr>
            <w:r>
              <w:rPr>
                <w:sz w:val="18"/>
              </w:rPr>
              <w:t>Cover</w:t>
            </w:r>
            <w:r>
              <w:rPr>
                <w:spacing w:val="-4"/>
                <w:sz w:val="18"/>
              </w:rPr>
              <w:t> </w:t>
            </w:r>
            <w:r>
              <w:rPr>
                <w:sz w:val="18"/>
              </w:rPr>
              <w:t>up exposed</w:t>
            </w:r>
            <w:r>
              <w:rPr>
                <w:spacing w:val="-2"/>
                <w:sz w:val="18"/>
              </w:rPr>
              <w:t> </w:t>
            </w:r>
            <w:r>
              <w:rPr>
                <w:spacing w:val="-4"/>
                <w:sz w:val="18"/>
              </w:rPr>
              <w:t>skin</w:t>
            </w:r>
          </w:p>
        </w:tc>
        <w:tc>
          <w:tcPr>
            <w:tcW w:w="1006" w:type="dxa"/>
          </w:tcPr>
          <w:p>
            <w:pPr>
              <w:pStyle w:val="TableParagraph"/>
              <w:spacing w:line="198" w:lineRule="exact" w:before="6"/>
              <w:ind w:left="18" w:right="2"/>
              <w:rPr>
                <w:sz w:val="18"/>
              </w:rPr>
            </w:pPr>
            <w:r>
              <w:rPr>
                <w:sz w:val="18"/>
              </w:rPr>
              <w:t>93</w:t>
            </w:r>
            <w:r>
              <w:rPr>
                <w:spacing w:val="2"/>
                <w:sz w:val="18"/>
              </w:rPr>
              <w:t> </w:t>
            </w:r>
            <w:r>
              <w:rPr>
                <w:spacing w:val="-4"/>
                <w:sz w:val="18"/>
              </w:rPr>
              <w:t>(52)</w:t>
            </w:r>
          </w:p>
        </w:tc>
        <w:tc>
          <w:tcPr>
            <w:tcW w:w="989" w:type="dxa"/>
          </w:tcPr>
          <w:p>
            <w:pPr>
              <w:pStyle w:val="TableParagraph"/>
              <w:spacing w:line="198" w:lineRule="exact" w:before="6"/>
              <w:ind w:left="1" w:right="2"/>
              <w:rPr>
                <w:sz w:val="18"/>
              </w:rPr>
            </w:pPr>
            <w:r>
              <w:rPr>
                <w:sz w:val="18"/>
              </w:rPr>
              <w:t>69</w:t>
            </w:r>
            <w:r>
              <w:rPr>
                <w:spacing w:val="2"/>
                <w:sz w:val="18"/>
              </w:rPr>
              <w:t> </w:t>
            </w:r>
            <w:r>
              <w:rPr>
                <w:spacing w:val="-2"/>
                <w:sz w:val="18"/>
              </w:rPr>
              <w:t>(39.7)</w:t>
            </w:r>
          </w:p>
        </w:tc>
        <w:tc>
          <w:tcPr>
            <w:tcW w:w="738" w:type="dxa"/>
          </w:tcPr>
          <w:p>
            <w:pPr>
              <w:pStyle w:val="TableParagraph"/>
              <w:spacing w:line="198" w:lineRule="exact" w:before="6"/>
              <w:ind w:left="75"/>
              <w:rPr>
                <w:sz w:val="18"/>
              </w:rPr>
            </w:pPr>
            <w:r>
              <w:rPr>
                <w:spacing w:val="-2"/>
                <w:sz w:val="18"/>
              </w:rPr>
              <w:t>0.020</w:t>
            </w:r>
          </w:p>
        </w:tc>
      </w:tr>
      <w:tr>
        <w:trPr>
          <w:trHeight w:val="247" w:hRule="atLeast"/>
        </w:trPr>
        <w:tc>
          <w:tcPr>
            <w:tcW w:w="2014" w:type="dxa"/>
          </w:tcPr>
          <w:p>
            <w:pPr>
              <w:pStyle w:val="TableParagraph"/>
              <w:spacing w:before="3"/>
              <w:ind w:left="50"/>
              <w:jc w:val="left"/>
              <w:rPr>
                <w:sz w:val="18"/>
              </w:rPr>
            </w:pPr>
            <w:r>
              <w:rPr>
                <w:sz w:val="18"/>
              </w:rPr>
              <w:t>Limit</w:t>
            </w:r>
            <w:r>
              <w:rPr>
                <w:spacing w:val="-1"/>
                <w:sz w:val="18"/>
              </w:rPr>
              <w:t> </w:t>
            </w:r>
            <w:r>
              <w:rPr>
                <w:sz w:val="18"/>
              </w:rPr>
              <w:t>time</w:t>
            </w:r>
            <w:r>
              <w:rPr>
                <w:spacing w:val="-2"/>
                <w:sz w:val="18"/>
              </w:rPr>
              <w:t> </w:t>
            </w:r>
            <w:r>
              <w:rPr>
                <w:sz w:val="18"/>
              </w:rPr>
              <w:t>in</w:t>
            </w:r>
            <w:r>
              <w:rPr>
                <w:spacing w:val="-1"/>
                <w:sz w:val="18"/>
              </w:rPr>
              <w:t> </w:t>
            </w:r>
            <w:r>
              <w:rPr>
                <w:sz w:val="18"/>
              </w:rPr>
              <w:t>the</w:t>
            </w:r>
            <w:r>
              <w:rPr>
                <w:spacing w:val="-1"/>
                <w:sz w:val="18"/>
              </w:rPr>
              <w:t> </w:t>
            </w:r>
            <w:r>
              <w:rPr>
                <w:spacing w:val="-5"/>
                <w:sz w:val="18"/>
              </w:rPr>
              <w:t>sun</w:t>
            </w:r>
          </w:p>
        </w:tc>
        <w:tc>
          <w:tcPr>
            <w:tcW w:w="1006" w:type="dxa"/>
          </w:tcPr>
          <w:p>
            <w:pPr>
              <w:pStyle w:val="TableParagraph"/>
              <w:spacing w:before="3"/>
              <w:ind w:left="18"/>
              <w:rPr>
                <w:sz w:val="18"/>
              </w:rPr>
            </w:pPr>
            <w:r>
              <w:rPr>
                <w:sz w:val="18"/>
              </w:rPr>
              <w:t>122</w:t>
            </w:r>
            <w:r>
              <w:rPr>
                <w:spacing w:val="-1"/>
                <w:sz w:val="18"/>
              </w:rPr>
              <w:t> </w:t>
            </w:r>
            <w:r>
              <w:rPr>
                <w:spacing w:val="-2"/>
                <w:sz w:val="18"/>
              </w:rPr>
              <w:t>(68.2)</w:t>
            </w:r>
          </w:p>
        </w:tc>
        <w:tc>
          <w:tcPr>
            <w:tcW w:w="989" w:type="dxa"/>
          </w:tcPr>
          <w:p>
            <w:pPr>
              <w:pStyle w:val="TableParagraph"/>
              <w:spacing w:before="3"/>
              <w:ind w:left="2" w:right="1"/>
              <w:rPr>
                <w:sz w:val="18"/>
              </w:rPr>
            </w:pPr>
            <w:r>
              <w:rPr>
                <w:sz w:val="18"/>
              </w:rPr>
              <w:t>108</w:t>
            </w:r>
            <w:r>
              <w:rPr>
                <w:spacing w:val="-1"/>
                <w:sz w:val="18"/>
              </w:rPr>
              <w:t> </w:t>
            </w:r>
            <w:r>
              <w:rPr>
                <w:spacing w:val="-2"/>
                <w:sz w:val="18"/>
              </w:rPr>
              <w:t>(62.1)</w:t>
            </w:r>
          </w:p>
        </w:tc>
        <w:tc>
          <w:tcPr>
            <w:tcW w:w="738" w:type="dxa"/>
          </w:tcPr>
          <w:p>
            <w:pPr>
              <w:pStyle w:val="TableParagraph"/>
              <w:spacing w:before="3"/>
              <w:ind w:left="75"/>
              <w:rPr>
                <w:sz w:val="18"/>
              </w:rPr>
            </w:pPr>
            <w:r>
              <w:rPr>
                <w:spacing w:val="-2"/>
                <w:sz w:val="18"/>
              </w:rPr>
              <w:t>0.230</w:t>
            </w:r>
          </w:p>
        </w:tc>
      </w:tr>
      <w:tr>
        <w:trPr>
          <w:trHeight w:val="651" w:hRule="atLeast"/>
        </w:trPr>
        <w:tc>
          <w:tcPr>
            <w:tcW w:w="2014" w:type="dxa"/>
          </w:tcPr>
          <w:p>
            <w:pPr>
              <w:pStyle w:val="TableParagraph"/>
              <w:spacing w:before="29"/>
              <w:ind w:left="50" w:right="553"/>
              <w:jc w:val="left"/>
              <w:rPr>
                <w:sz w:val="18"/>
              </w:rPr>
            </w:pPr>
            <w:r>
              <w:rPr>
                <w:sz w:val="18"/>
              </w:rPr>
              <w:t>Avoid midday sun between</w:t>
            </w:r>
            <w:r>
              <w:rPr>
                <w:spacing w:val="-4"/>
                <w:sz w:val="18"/>
              </w:rPr>
              <w:t> </w:t>
            </w:r>
            <w:r>
              <w:rPr>
                <w:sz w:val="18"/>
              </w:rPr>
              <w:t>10:00am</w:t>
            </w:r>
            <w:r>
              <w:rPr>
                <w:spacing w:val="-5"/>
                <w:sz w:val="18"/>
              </w:rPr>
              <w:t> </w:t>
            </w:r>
            <w:r>
              <w:rPr>
                <w:spacing w:val="-10"/>
                <w:sz w:val="18"/>
              </w:rPr>
              <w:t>–</w:t>
            </w:r>
          </w:p>
          <w:p>
            <w:pPr>
              <w:pStyle w:val="TableParagraph"/>
              <w:tabs>
                <w:tab w:pos="4821" w:val="left" w:leader="none"/>
              </w:tabs>
              <w:spacing w:line="187" w:lineRule="exact" w:before="1"/>
              <w:ind w:left="-73" w:right="-2808"/>
              <w:jc w:val="left"/>
              <w:rPr>
                <w:sz w:val="18"/>
              </w:rPr>
            </w:pPr>
            <w:r>
              <w:rPr>
                <w:spacing w:val="77"/>
                <w:sz w:val="18"/>
                <w:u w:val="single"/>
              </w:rPr>
              <w:t> </w:t>
            </w:r>
            <w:r>
              <w:rPr>
                <w:spacing w:val="-2"/>
                <w:sz w:val="18"/>
                <w:u w:val="single"/>
              </w:rPr>
              <w:t>3:00pm</w:t>
            </w:r>
            <w:r>
              <w:rPr>
                <w:sz w:val="18"/>
                <w:u w:val="single"/>
              </w:rPr>
              <w:tab/>
            </w:r>
          </w:p>
        </w:tc>
        <w:tc>
          <w:tcPr>
            <w:tcW w:w="1006" w:type="dxa"/>
          </w:tcPr>
          <w:p>
            <w:pPr>
              <w:pStyle w:val="TableParagraph"/>
              <w:spacing w:before="29"/>
              <w:ind w:left="18" w:right="2"/>
              <w:rPr>
                <w:sz w:val="18"/>
              </w:rPr>
            </w:pPr>
            <w:r>
              <w:rPr>
                <w:sz w:val="18"/>
              </w:rPr>
              <w:t>57</w:t>
            </w:r>
            <w:r>
              <w:rPr>
                <w:spacing w:val="2"/>
                <w:sz w:val="18"/>
              </w:rPr>
              <w:t> </w:t>
            </w:r>
            <w:r>
              <w:rPr>
                <w:spacing w:val="-2"/>
                <w:sz w:val="18"/>
              </w:rPr>
              <w:t>(31.8)</w:t>
            </w:r>
          </w:p>
        </w:tc>
        <w:tc>
          <w:tcPr>
            <w:tcW w:w="989" w:type="dxa"/>
          </w:tcPr>
          <w:p>
            <w:pPr>
              <w:pStyle w:val="TableParagraph"/>
              <w:spacing w:before="29"/>
              <w:ind w:left="1" w:right="2"/>
              <w:rPr>
                <w:sz w:val="18"/>
              </w:rPr>
            </w:pPr>
            <w:r>
              <w:rPr>
                <w:sz w:val="18"/>
              </w:rPr>
              <w:t>82</w:t>
            </w:r>
            <w:r>
              <w:rPr>
                <w:spacing w:val="2"/>
                <w:sz w:val="18"/>
              </w:rPr>
              <w:t> </w:t>
            </w:r>
            <w:r>
              <w:rPr>
                <w:spacing w:val="-2"/>
                <w:sz w:val="18"/>
              </w:rPr>
              <w:t>(47.1)</w:t>
            </w:r>
          </w:p>
        </w:tc>
        <w:tc>
          <w:tcPr>
            <w:tcW w:w="738" w:type="dxa"/>
          </w:tcPr>
          <w:p>
            <w:pPr>
              <w:pStyle w:val="TableParagraph"/>
              <w:spacing w:before="29"/>
              <w:ind w:left="75"/>
              <w:rPr>
                <w:sz w:val="18"/>
              </w:rPr>
            </w:pPr>
            <w:r>
              <w:rPr>
                <w:spacing w:val="-2"/>
                <w:sz w:val="18"/>
              </w:rPr>
              <w:t>0.003</w:t>
            </w:r>
          </w:p>
        </w:tc>
      </w:tr>
    </w:tbl>
    <w:p>
      <w:pPr>
        <w:pStyle w:val="BodyText"/>
        <w:spacing w:before="19"/>
        <w:rPr>
          <w:b/>
        </w:rPr>
      </w:pPr>
    </w:p>
    <w:p>
      <w:pPr>
        <w:pStyle w:val="Heading2"/>
        <w:spacing w:before="1"/>
        <w:ind w:left="2155"/>
      </w:pPr>
      <w:r>
        <w:rPr/>
        <w:t>Table</w:t>
      </w:r>
      <w:r>
        <w:rPr>
          <w:spacing w:val="-1"/>
        </w:rPr>
        <w:t> </w:t>
      </w:r>
      <w:r>
        <w:rPr>
          <w:spacing w:val="-10"/>
        </w:rPr>
        <w:t>5</w:t>
      </w:r>
    </w:p>
    <w:p>
      <w:pPr>
        <w:spacing w:before="250"/>
        <w:ind w:left="264" w:right="475" w:firstLine="0"/>
        <w:jc w:val="center"/>
        <w:rPr>
          <w:b/>
          <w:sz w:val="22"/>
        </w:rPr>
      </w:pPr>
      <w:r>
        <w:rPr>
          <w:b/>
          <w:sz w:val="22"/>
        </w:rPr>
        <w:t>Binary Logistic Regression Models of Sun Protection Outcome Behavior Variables between</w:t>
      </w:r>
      <w:r>
        <w:rPr>
          <w:b/>
          <w:spacing w:val="-9"/>
          <w:sz w:val="22"/>
        </w:rPr>
        <w:t> </w:t>
      </w:r>
      <w:r>
        <w:rPr>
          <w:b/>
          <w:sz w:val="22"/>
        </w:rPr>
        <w:t>California</w:t>
      </w:r>
      <w:r>
        <w:rPr>
          <w:b/>
          <w:spacing w:val="-8"/>
          <w:sz w:val="22"/>
        </w:rPr>
        <w:t> </w:t>
      </w:r>
      <w:r>
        <w:rPr>
          <w:b/>
          <w:sz w:val="22"/>
        </w:rPr>
        <w:t>and</w:t>
      </w:r>
      <w:r>
        <w:rPr>
          <w:b/>
          <w:spacing w:val="-11"/>
          <w:sz w:val="22"/>
        </w:rPr>
        <w:t> </w:t>
      </w:r>
      <w:r>
        <w:rPr>
          <w:b/>
          <w:sz w:val="22"/>
        </w:rPr>
        <w:t>Maryland</w:t>
      </w:r>
      <w:r>
        <w:rPr>
          <w:b/>
          <w:spacing w:val="-9"/>
          <w:sz w:val="22"/>
        </w:rPr>
        <w:t> </w:t>
      </w:r>
      <w:r>
        <w:rPr>
          <w:b/>
          <w:sz w:val="22"/>
        </w:rPr>
        <w:t>Students.</w:t>
      </w:r>
    </w:p>
    <w:p>
      <w:pPr>
        <w:pStyle w:val="BodyText"/>
        <w:spacing w:before="26"/>
        <w:rPr>
          <w:b/>
          <w:sz w:val="20"/>
        </w:rPr>
      </w:pPr>
    </w:p>
    <w:tbl>
      <w:tblPr>
        <w:tblW w:w="0" w:type="auto"/>
        <w:jc w:val="left"/>
        <w:tblInd w:w="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98"/>
        <w:gridCol w:w="1599"/>
        <w:gridCol w:w="812"/>
      </w:tblGrid>
      <w:tr>
        <w:trPr>
          <w:trHeight w:val="1039" w:hRule="atLeast"/>
        </w:trPr>
        <w:tc>
          <w:tcPr>
            <w:tcW w:w="2198" w:type="dxa"/>
            <w:tcBorders>
              <w:top w:val="single" w:sz="4" w:space="0" w:color="000000"/>
            </w:tcBorders>
          </w:tcPr>
          <w:p>
            <w:pPr>
              <w:pStyle w:val="TableParagraph"/>
              <w:spacing w:before="99"/>
              <w:jc w:val="left"/>
              <w:rPr>
                <w:b/>
                <w:sz w:val="18"/>
              </w:rPr>
            </w:pPr>
          </w:p>
          <w:p>
            <w:pPr>
              <w:pStyle w:val="TableParagraph"/>
              <w:spacing w:before="1"/>
              <w:ind w:left="456" w:right="205" w:hanging="178"/>
              <w:jc w:val="left"/>
              <w:rPr>
                <w:i/>
                <w:sz w:val="18"/>
              </w:rPr>
            </w:pPr>
            <w:r>
              <w:rPr>
                <w:i/>
                <w:sz w:val="18"/>
              </w:rPr>
              <w:t>Sun</w:t>
            </w:r>
            <w:r>
              <w:rPr>
                <w:i/>
                <w:spacing w:val="-12"/>
                <w:sz w:val="18"/>
              </w:rPr>
              <w:t> </w:t>
            </w:r>
            <w:r>
              <w:rPr>
                <w:i/>
                <w:sz w:val="18"/>
              </w:rPr>
              <w:t>protection</w:t>
            </w:r>
            <w:r>
              <w:rPr>
                <w:i/>
                <w:spacing w:val="-11"/>
                <w:sz w:val="18"/>
              </w:rPr>
              <w:t> </w:t>
            </w:r>
            <w:r>
              <w:rPr>
                <w:i/>
                <w:sz w:val="18"/>
              </w:rPr>
              <w:t>outcome</w:t>
            </w:r>
            <w:r>
              <w:rPr>
                <w:i/>
                <w:sz w:val="18"/>
              </w:rPr>
              <w:t> behavior variables</w:t>
            </w:r>
          </w:p>
        </w:tc>
        <w:tc>
          <w:tcPr>
            <w:tcW w:w="1599" w:type="dxa"/>
            <w:tcBorders>
              <w:top w:val="single" w:sz="4" w:space="0" w:color="000000"/>
            </w:tcBorders>
          </w:tcPr>
          <w:p>
            <w:pPr>
              <w:pStyle w:val="TableParagraph"/>
              <w:spacing w:line="202" w:lineRule="exact"/>
              <w:ind w:left="70" w:right="4"/>
              <w:rPr>
                <w:i/>
                <w:sz w:val="18"/>
              </w:rPr>
            </w:pPr>
            <w:r>
              <w:rPr>
                <w:i/>
                <w:sz w:val="18"/>
              </w:rPr>
              <w:t>CA</w:t>
            </w:r>
            <w:r>
              <w:rPr>
                <w:i/>
                <w:spacing w:val="1"/>
                <w:sz w:val="18"/>
              </w:rPr>
              <w:t> </w:t>
            </w:r>
            <w:r>
              <w:rPr>
                <w:i/>
                <w:spacing w:val="-2"/>
                <w:sz w:val="18"/>
              </w:rPr>
              <w:t>vs.MD</w:t>
            </w:r>
          </w:p>
          <w:p>
            <w:pPr>
              <w:pStyle w:val="TableParagraph"/>
              <w:ind w:left="425" w:right="354" w:firstLine="1"/>
              <w:rPr>
                <w:i/>
                <w:sz w:val="18"/>
              </w:rPr>
            </w:pPr>
            <w:r>
              <w:rPr>
                <w:i/>
                <w:spacing w:val="-2"/>
                <w:sz w:val="18"/>
              </w:rPr>
              <w:t>residents</w:t>
            </w:r>
            <w:r>
              <w:rPr>
                <w:i/>
                <w:spacing w:val="-2"/>
                <w:sz w:val="18"/>
              </w:rPr>
              <w:t> </w:t>
            </w:r>
            <w:r>
              <w:rPr>
                <w:i/>
                <w:sz w:val="18"/>
              </w:rPr>
              <w:t>Odds</w:t>
            </w:r>
            <w:r>
              <w:rPr>
                <w:i/>
                <w:spacing w:val="1"/>
                <w:sz w:val="18"/>
              </w:rPr>
              <w:t> </w:t>
            </w:r>
            <w:r>
              <w:rPr>
                <w:i/>
                <w:spacing w:val="-2"/>
                <w:sz w:val="18"/>
              </w:rPr>
              <w:t>Ratio</w:t>
            </w:r>
          </w:p>
          <w:p>
            <w:pPr>
              <w:pStyle w:val="TableParagraph"/>
              <w:spacing w:line="207" w:lineRule="exact" w:before="1"/>
              <w:ind w:left="70"/>
              <w:rPr>
                <w:i/>
                <w:sz w:val="18"/>
              </w:rPr>
            </w:pPr>
            <w:r>
              <w:rPr>
                <w:i/>
                <w:sz w:val="18"/>
              </w:rPr>
              <w:t>(95%</w:t>
            </w:r>
            <w:r>
              <w:rPr>
                <w:i/>
                <w:spacing w:val="-5"/>
                <w:sz w:val="18"/>
              </w:rPr>
              <w:t> </w:t>
            </w:r>
            <w:r>
              <w:rPr>
                <w:i/>
                <w:spacing w:val="-2"/>
                <w:sz w:val="18"/>
              </w:rPr>
              <w:t>Confidence</w:t>
            </w:r>
          </w:p>
          <w:p>
            <w:pPr>
              <w:pStyle w:val="TableParagraph"/>
              <w:tabs>
                <w:tab w:pos="2409" w:val="left" w:leader="none"/>
              </w:tabs>
              <w:spacing w:line="196" w:lineRule="exact"/>
              <w:ind w:left="-2198" w:right="-821"/>
              <w:rPr>
                <w:i/>
                <w:sz w:val="18"/>
              </w:rPr>
            </w:pPr>
            <w:r>
              <w:rPr>
                <w:i/>
                <w:spacing w:val="73"/>
                <w:w w:val="150"/>
                <w:sz w:val="18"/>
                <w:u w:val="single"/>
              </w:rPr>
              <w:t>                   </w:t>
            </w:r>
            <w:r>
              <w:rPr>
                <w:i/>
                <w:spacing w:val="-2"/>
                <w:sz w:val="18"/>
                <w:u w:val="single"/>
              </w:rPr>
              <w:t>Interval)*</w:t>
            </w:r>
            <w:r>
              <w:rPr>
                <w:i/>
                <w:sz w:val="18"/>
                <w:u w:val="single"/>
              </w:rPr>
              <w:tab/>
            </w:r>
          </w:p>
        </w:tc>
        <w:tc>
          <w:tcPr>
            <w:tcW w:w="812" w:type="dxa"/>
            <w:tcBorders>
              <w:top w:val="single" w:sz="4" w:space="0" w:color="000000"/>
            </w:tcBorders>
          </w:tcPr>
          <w:p>
            <w:pPr>
              <w:pStyle w:val="TableParagraph"/>
              <w:spacing w:before="203"/>
              <w:jc w:val="left"/>
              <w:rPr>
                <w:b/>
                <w:sz w:val="18"/>
              </w:rPr>
            </w:pPr>
          </w:p>
          <w:p>
            <w:pPr>
              <w:pStyle w:val="TableParagraph"/>
              <w:ind w:left="134"/>
              <w:jc w:val="left"/>
              <w:rPr>
                <w:i/>
                <w:sz w:val="18"/>
              </w:rPr>
            </w:pPr>
            <w:r>
              <w:rPr>
                <w:i/>
                <w:sz w:val="18"/>
              </w:rPr>
              <w:t>p-</w:t>
            </w:r>
            <w:r>
              <w:rPr>
                <w:i/>
                <w:spacing w:val="-2"/>
                <w:sz w:val="18"/>
              </w:rPr>
              <w:t>value</w:t>
            </w:r>
          </w:p>
        </w:tc>
      </w:tr>
      <w:tr>
        <w:trPr>
          <w:trHeight w:val="625" w:hRule="atLeast"/>
        </w:trPr>
        <w:tc>
          <w:tcPr>
            <w:tcW w:w="4609" w:type="dxa"/>
            <w:gridSpan w:val="3"/>
          </w:tcPr>
          <w:p>
            <w:pPr>
              <w:pStyle w:val="TableParagraph"/>
              <w:spacing w:line="206" w:lineRule="exact"/>
              <w:ind w:left="107" w:right="2504"/>
              <w:jc w:val="left"/>
              <w:rPr>
                <w:sz w:val="18"/>
              </w:rPr>
            </w:pPr>
            <w:r>
              <w:rPr>
                <w:sz w:val="18"/>
              </w:rPr>
              <w:t>Do you personally do anything</w:t>
            </w:r>
            <w:r>
              <w:rPr>
                <w:spacing w:val="-12"/>
                <w:sz w:val="18"/>
              </w:rPr>
              <w:t> </w:t>
            </w:r>
            <w:r>
              <w:rPr>
                <w:sz w:val="18"/>
              </w:rPr>
              <w:t>to</w:t>
            </w:r>
            <w:r>
              <w:rPr>
                <w:spacing w:val="-11"/>
                <w:sz w:val="18"/>
              </w:rPr>
              <w:t> </w:t>
            </w:r>
            <w:r>
              <w:rPr>
                <w:sz w:val="18"/>
              </w:rPr>
              <w:t>protect</w:t>
            </w:r>
            <w:r>
              <w:rPr>
                <w:spacing w:val="-11"/>
                <w:sz w:val="18"/>
              </w:rPr>
              <w:t> </w:t>
            </w:r>
            <w:r>
              <w:rPr>
                <w:sz w:val="18"/>
              </w:rPr>
              <w:t>yourself from the sun</w:t>
            </w:r>
          </w:p>
        </w:tc>
      </w:tr>
      <w:tr>
        <w:trPr>
          <w:trHeight w:val="207" w:hRule="atLeast"/>
        </w:trPr>
        <w:tc>
          <w:tcPr>
            <w:tcW w:w="2198" w:type="dxa"/>
          </w:tcPr>
          <w:p>
            <w:pPr>
              <w:pStyle w:val="TableParagraph"/>
              <w:spacing w:line="188" w:lineRule="exact"/>
              <w:ind w:left="467"/>
              <w:jc w:val="left"/>
              <w:rPr>
                <w:sz w:val="18"/>
              </w:rPr>
            </w:pPr>
            <w:r>
              <w:rPr>
                <w:spacing w:val="-5"/>
                <w:sz w:val="18"/>
              </w:rPr>
              <w:t>No</w:t>
            </w:r>
          </w:p>
        </w:tc>
        <w:tc>
          <w:tcPr>
            <w:tcW w:w="1599" w:type="dxa"/>
          </w:tcPr>
          <w:p>
            <w:pPr>
              <w:pStyle w:val="TableParagraph"/>
              <w:spacing w:line="188" w:lineRule="exact"/>
              <w:ind w:left="70" w:right="1"/>
              <w:rPr>
                <w:sz w:val="18"/>
              </w:rPr>
            </w:pPr>
            <w:r>
              <w:rPr>
                <w:spacing w:val="-4"/>
                <w:sz w:val="18"/>
              </w:rPr>
              <w:t>1.00</w:t>
            </w:r>
          </w:p>
        </w:tc>
        <w:tc>
          <w:tcPr>
            <w:tcW w:w="812" w:type="dxa"/>
          </w:tcPr>
          <w:p>
            <w:pPr>
              <w:pStyle w:val="TableParagraph"/>
              <w:jc w:val="left"/>
              <w:rPr>
                <w:sz w:val="14"/>
              </w:rPr>
            </w:pPr>
          </w:p>
        </w:tc>
      </w:tr>
      <w:tr>
        <w:trPr>
          <w:trHeight w:val="207" w:hRule="atLeast"/>
        </w:trPr>
        <w:tc>
          <w:tcPr>
            <w:tcW w:w="2198" w:type="dxa"/>
          </w:tcPr>
          <w:p>
            <w:pPr>
              <w:pStyle w:val="TableParagraph"/>
              <w:spacing w:line="188" w:lineRule="exact"/>
              <w:ind w:left="467"/>
              <w:jc w:val="left"/>
              <w:rPr>
                <w:sz w:val="18"/>
              </w:rPr>
            </w:pPr>
            <w:r>
              <w:rPr>
                <w:spacing w:val="-5"/>
                <w:sz w:val="18"/>
              </w:rPr>
              <w:t>Yes</w:t>
            </w:r>
          </w:p>
        </w:tc>
        <w:tc>
          <w:tcPr>
            <w:tcW w:w="1599" w:type="dxa"/>
          </w:tcPr>
          <w:p>
            <w:pPr>
              <w:pStyle w:val="TableParagraph"/>
              <w:spacing w:line="188" w:lineRule="exact"/>
              <w:ind w:left="233"/>
              <w:jc w:val="left"/>
              <w:rPr>
                <w:sz w:val="18"/>
              </w:rPr>
            </w:pPr>
            <w:r>
              <w:rPr>
                <w:sz w:val="18"/>
              </w:rPr>
              <w:t>0.51</w:t>
            </w:r>
            <w:r>
              <w:rPr>
                <w:spacing w:val="-2"/>
                <w:sz w:val="18"/>
              </w:rPr>
              <w:t> </w:t>
            </w:r>
            <w:r>
              <w:rPr>
                <w:sz w:val="18"/>
              </w:rPr>
              <w:t>(0.32,</w:t>
            </w:r>
            <w:r>
              <w:rPr>
                <w:spacing w:val="-3"/>
                <w:sz w:val="18"/>
              </w:rPr>
              <w:t> </w:t>
            </w:r>
            <w:r>
              <w:rPr>
                <w:spacing w:val="-2"/>
                <w:sz w:val="18"/>
              </w:rPr>
              <w:t>0.83)</w:t>
            </w:r>
          </w:p>
        </w:tc>
        <w:tc>
          <w:tcPr>
            <w:tcW w:w="812" w:type="dxa"/>
          </w:tcPr>
          <w:p>
            <w:pPr>
              <w:pStyle w:val="TableParagraph"/>
              <w:spacing w:line="188" w:lineRule="exact"/>
              <w:ind w:left="201"/>
              <w:jc w:val="left"/>
              <w:rPr>
                <w:sz w:val="18"/>
              </w:rPr>
            </w:pPr>
            <w:r>
              <w:rPr>
                <w:spacing w:val="-2"/>
                <w:sz w:val="18"/>
              </w:rPr>
              <w:t>0.006</w:t>
            </w:r>
          </w:p>
        </w:tc>
      </w:tr>
      <w:tr>
        <w:trPr>
          <w:trHeight w:val="206" w:hRule="atLeast"/>
        </w:trPr>
        <w:tc>
          <w:tcPr>
            <w:tcW w:w="2198" w:type="dxa"/>
          </w:tcPr>
          <w:p>
            <w:pPr>
              <w:pStyle w:val="TableParagraph"/>
              <w:spacing w:line="186" w:lineRule="exact"/>
              <w:ind w:left="107"/>
              <w:jc w:val="left"/>
              <w:rPr>
                <w:sz w:val="18"/>
              </w:rPr>
            </w:pPr>
            <w:r>
              <w:rPr>
                <w:sz w:val="18"/>
              </w:rPr>
              <w:t>Use</w:t>
            </w:r>
            <w:r>
              <w:rPr>
                <w:spacing w:val="-3"/>
                <w:sz w:val="18"/>
              </w:rPr>
              <w:t> </w:t>
            </w:r>
            <w:r>
              <w:rPr>
                <w:spacing w:val="-2"/>
                <w:sz w:val="18"/>
              </w:rPr>
              <w:t>sunscreen</w:t>
            </w:r>
          </w:p>
        </w:tc>
        <w:tc>
          <w:tcPr>
            <w:tcW w:w="1599" w:type="dxa"/>
          </w:tcPr>
          <w:p>
            <w:pPr>
              <w:pStyle w:val="TableParagraph"/>
              <w:jc w:val="left"/>
              <w:rPr>
                <w:sz w:val="14"/>
              </w:rPr>
            </w:pPr>
          </w:p>
        </w:tc>
        <w:tc>
          <w:tcPr>
            <w:tcW w:w="812" w:type="dxa"/>
          </w:tcPr>
          <w:p>
            <w:pPr>
              <w:pStyle w:val="TableParagraph"/>
              <w:jc w:val="left"/>
              <w:rPr>
                <w:sz w:val="14"/>
              </w:rPr>
            </w:pPr>
          </w:p>
        </w:tc>
      </w:tr>
      <w:tr>
        <w:trPr>
          <w:trHeight w:val="206" w:hRule="atLeast"/>
        </w:trPr>
        <w:tc>
          <w:tcPr>
            <w:tcW w:w="2198" w:type="dxa"/>
          </w:tcPr>
          <w:p>
            <w:pPr>
              <w:pStyle w:val="TableParagraph"/>
              <w:spacing w:line="186" w:lineRule="exact"/>
              <w:ind w:left="467"/>
              <w:jc w:val="left"/>
              <w:rPr>
                <w:sz w:val="18"/>
              </w:rPr>
            </w:pPr>
            <w:r>
              <w:rPr>
                <w:spacing w:val="-5"/>
                <w:sz w:val="18"/>
              </w:rPr>
              <w:t>No</w:t>
            </w:r>
          </w:p>
        </w:tc>
        <w:tc>
          <w:tcPr>
            <w:tcW w:w="1599" w:type="dxa"/>
          </w:tcPr>
          <w:p>
            <w:pPr>
              <w:pStyle w:val="TableParagraph"/>
              <w:spacing w:line="186" w:lineRule="exact"/>
              <w:ind w:left="70" w:right="1"/>
              <w:rPr>
                <w:sz w:val="18"/>
              </w:rPr>
            </w:pPr>
            <w:r>
              <w:rPr>
                <w:spacing w:val="-4"/>
                <w:sz w:val="18"/>
              </w:rPr>
              <w:t>1.00</w:t>
            </w:r>
          </w:p>
        </w:tc>
        <w:tc>
          <w:tcPr>
            <w:tcW w:w="812" w:type="dxa"/>
          </w:tcPr>
          <w:p>
            <w:pPr>
              <w:pStyle w:val="TableParagraph"/>
              <w:jc w:val="left"/>
              <w:rPr>
                <w:sz w:val="14"/>
              </w:rPr>
            </w:pPr>
          </w:p>
        </w:tc>
      </w:tr>
      <w:tr>
        <w:trPr>
          <w:trHeight w:val="207" w:hRule="atLeast"/>
        </w:trPr>
        <w:tc>
          <w:tcPr>
            <w:tcW w:w="2198" w:type="dxa"/>
          </w:tcPr>
          <w:p>
            <w:pPr>
              <w:pStyle w:val="TableParagraph"/>
              <w:spacing w:line="188" w:lineRule="exact"/>
              <w:ind w:left="467"/>
              <w:jc w:val="left"/>
              <w:rPr>
                <w:sz w:val="18"/>
              </w:rPr>
            </w:pPr>
            <w:r>
              <w:rPr>
                <w:spacing w:val="-5"/>
                <w:sz w:val="18"/>
              </w:rPr>
              <w:t>Yes</w:t>
            </w:r>
          </w:p>
        </w:tc>
        <w:tc>
          <w:tcPr>
            <w:tcW w:w="1599" w:type="dxa"/>
          </w:tcPr>
          <w:p>
            <w:pPr>
              <w:pStyle w:val="TableParagraph"/>
              <w:spacing w:line="188" w:lineRule="exact"/>
              <w:ind w:left="233"/>
              <w:jc w:val="left"/>
              <w:rPr>
                <w:sz w:val="18"/>
              </w:rPr>
            </w:pPr>
            <w:r>
              <w:rPr>
                <w:sz w:val="18"/>
              </w:rPr>
              <w:t>2.29</w:t>
            </w:r>
            <w:r>
              <w:rPr>
                <w:spacing w:val="-2"/>
                <w:sz w:val="18"/>
              </w:rPr>
              <w:t> </w:t>
            </w:r>
            <w:r>
              <w:rPr>
                <w:sz w:val="18"/>
              </w:rPr>
              <w:t>(1.39,</w:t>
            </w:r>
            <w:r>
              <w:rPr>
                <w:spacing w:val="-3"/>
                <w:sz w:val="18"/>
              </w:rPr>
              <w:t> </w:t>
            </w:r>
            <w:r>
              <w:rPr>
                <w:spacing w:val="-2"/>
                <w:sz w:val="18"/>
              </w:rPr>
              <w:t>3.77)</w:t>
            </w:r>
          </w:p>
        </w:tc>
        <w:tc>
          <w:tcPr>
            <w:tcW w:w="812" w:type="dxa"/>
          </w:tcPr>
          <w:p>
            <w:pPr>
              <w:pStyle w:val="TableParagraph"/>
              <w:spacing w:line="188" w:lineRule="exact"/>
              <w:ind w:left="201"/>
              <w:jc w:val="left"/>
              <w:rPr>
                <w:sz w:val="18"/>
              </w:rPr>
            </w:pPr>
            <w:r>
              <w:rPr>
                <w:spacing w:val="-2"/>
                <w:sz w:val="18"/>
              </w:rPr>
              <w:t>0.001</w:t>
            </w:r>
          </w:p>
        </w:tc>
      </w:tr>
      <w:tr>
        <w:trPr>
          <w:trHeight w:val="207" w:hRule="atLeast"/>
        </w:trPr>
        <w:tc>
          <w:tcPr>
            <w:tcW w:w="2198" w:type="dxa"/>
          </w:tcPr>
          <w:p>
            <w:pPr>
              <w:pStyle w:val="TableParagraph"/>
              <w:spacing w:line="188" w:lineRule="exact"/>
              <w:ind w:left="107"/>
              <w:jc w:val="left"/>
              <w:rPr>
                <w:sz w:val="18"/>
              </w:rPr>
            </w:pPr>
            <w:r>
              <w:rPr>
                <w:sz w:val="18"/>
              </w:rPr>
              <w:t>Cover</w:t>
            </w:r>
            <w:r>
              <w:rPr>
                <w:spacing w:val="-4"/>
                <w:sz w:val="18"/>
              </w:rPr>
              <w:t> </w:t>
            </w:r>
            <w:r>
              <w:rPr>
                <w:sz w:val="18"/>
              </w:rPr>
              <w:t>up exposed</w:t>
            </w:r>
            <w:r>
              <w:rPr>
                <w:spacing w:val="-2"/>
                <w:sz w:val="18"/>
              </w:rPr>
              <w:t> </w:t>
            </w:r>
            <w:r>
              <w:rPr>
                <w:spacing w:val="-4"/>
                <w:sz w:val="18"/>
              </w:rPr>
              <w:t>skin</w:t>
            </w:r>
          </w:p>
        </w:tc>
        <w:tc>
          <w:tcPr>
            <w:tcW w:w="1599" w:type="dxa"/>
          </w:tcPr>
          <w:p>
            <w:pPr>
              <w:pStyle w:val="TableParagraph"/>
              <w:jc w:val="left"/>
              <w:rPr>
                <w:sz w:val="14"/>
              </w:rPr>
            </w:pPr>
          </w:p>
        </w:tc>
        <w:tc>
          <w:tcPr>
            <w:tcW w:w="812" w:type="dxa"/>
          </w:tcPr>
          <w:p>
            <w:pPr>
              <w:pStyle w:val="TableParagraph"/>
              <w:jc w:val="left"/>
              <w:rPr>
                <w:sz w:val="14"/>
              </w:rPr>
            </w:pPr>
          </w:p>
        </w:tc>
      </w:tr>
      <w:tr>
        <w:trPr>
          <w:trHeight w:val="206" w:hRule="atLeast"/>
        </w:trPr>
        <w:tc>
          <w:tcPr>
            <w:tcW w:w="2198" w:type="dxa"/>
          </w:tcPr>
          <w:p>
            <w:pPr>
              <w:pStyle w:val="TableParagraph"/>
              <w:spacing w:line="186" w:lineRule="exact"/>
              <w:ind w:left="467"/>
              <w:jc w:val="left"/>
              <w:rPr>
                <w:sz w:val="18"/>
              </w:rPr>
            </w:pPr>
            <w:r>
              <w:rPr>
                <w:spacing w:val="-5"/>
                <w:sz w:val="18"/>
              </w:rPr>
              <w:t>No</w:t>
            </w:r>
          </w:p>
        </w:tc>
        <w:tc>
          <w:tcPr>
            <w:tcW w:w="1599" w:type="dxa"/>
          </w:tcPr>
          <w:p>
            <w:pPr>
              <w:pStyle w:val="TableParagraph"/>
              <w:spacing w:line="186" w:lineRule="exact"/>
              <w:ind w:left="70" w:right="1"/>
              <w:rPr>
                <w:sz w:val="18"/>
              </w:rPr>
            </w:pPr>
            <w:r>
              <w:rPr>
                <w:spacing w:val="-4"/>
                <w:sz w:val="18"/>
              </w:rPr>
              <w:t>1.00</w:t>
            </w:r>
          </w:p>
        </w:tc>
        <w:tc>
          <w:tcPr>
            <w:tcW w:w="812" w:type="dxa"/>
          </w:tcPr>
          <w:p>
            <w:pPr>
              <w:pStyle w:val="TableParagraph"/>
              <w:jc w:val="left"/>
              <w:rPr>
                <w:sz w:val="14"/>
              </w:rPr>
            </w:pPr>
          </w:p>
        </w:tc>
      </w:tr>
      <w:tr>
        <w:trPr>
          <w:trHeight w:val="206" w:hRule="atLeast"/>
        </w:trPr>
        <w:tc>
          <w:tcPr>
            <w:tcW w:w="2198" w:type="dxa"/>
          </w:tcPr>
          <w:p>
            <w:pPr>
              <w:pStyle w:val="TableParagraph"/>
              <w:spacing w:line="186" w:lineRule="exact"/>
              <w:ind w:left="467"/>
              <w:jc w:val="left"/>
              <w:rPr>
                <w:sz w:val="18"/>
              </w:rPr>
            </w:pPr>
            <w:r>
              <w:rPr>
                <w:spacing w:val="-5"/>
                <w:sz w:val="18"/>
              </w:rPr>
              <w:t>Yes</w:t>
            </w:r>
          </w:p>
        </w:tc>
        <w:tc>
          <w:tcPr>
            <w:tcW w:w="1599" w:type="dxa"/>
          </w:tcPr>
          <w:p>
            <w:pPr>
              <w:pStyle w:val="TableParagraph"/>
              <w:spacing w:line="186" w:lineRule="exact"/>
              <w:ind w:left="233"/>
              <w:jc w:val="left"/>
              <w:rPr>
                <w:sz w:val="18"/>
              </w:rPr>
            </w:pPr>
            <w:r>
              <w:rPr>
                <w:sz w:val="18"/>
              </w:rPr>
              <w:t>2.31</w:t>
            </w:r>
            <w:r>
              <w:rPr>
                <w:spacing w:val="-2"/>
                <w:sz w:val="18"/>
              </w:rPr>
              <w:t> </w:t>
            </w:r>
            <w:r>
              <w:rPr>
                <w:sz w:val="18"/>
              </w:rPr>
              <w:t>(1.43,</w:t>
            </w:r>
            <w:r>
              <w:rPr>
                <w:spacing w:val="-3"/>
                <w:sz w:val="18"/>
              </w:rPr>
              <w:t> </w:t>
            </w:r>
            <w:r>
              <w:rPr>
                <w:spacing w:val="-2"/>
                <w:sz w:val="18"/>
              </w:rPr>
              <w:t>3.71)</w:t>
            </w:r>
          </w:p>
        </w:tc>
        <w:tc>
          <w:tcPr>
            <w:tcW w:w="812" w:type="dxa"/>
          </w:tcPr>
          <w:p>
            <w:pPr>
              <w:pStyle w:val="TableParagraph"/>
              <w:spacing w:line="186" w:lineRule="exact"/>
              <w:ind w:left="201"/>
              <w:jc w:val="left"/>
              <w:rPr>
                <w:sz w:val="18"/>
              </w:rPr>
            </w:pPr>
            <w:r>
              <w:rPr>
                <w:spacing w:val="-2"/>
                <w:sz w:val="18"/>
              </w:rPr>
              <w:t>0.001</w:t>
            </w:r>
          </w:p>
        </w:tc>
      </w:tr>
      <w:tr>
        <w:trPr>
          <w:trHeight w:val="207" w:hRule="atLeast"/>
        </w:trPr>
        <w:tc>
          <w:tcPr>
            <w:tcW w:w="2198" w:type="dxa"/>
          </w:tcPr>
          <w:p>
            <w:pPr>
              <w:pStyle w:val="TableParagraph"/>
              <w:spacing w:line="188" w:lineRule="exact"/>
              <w:ind w:left="107"/>
              <w:jc w:val="left"/>
              <w:rPr>
                <w:sz w:val="18"/>
              </w:rPr>
            </w:pPr>
            <w:r>
              <w:rPr>
                <w:sz w:val="18"/>
              </w:rPr>
              <w:t>Avoid</w:t>
            </w:r>
            <w:r>
              <w:rPr>
                <w:spacing w:val="-2"/>
                <w:sz w:val="18"/>
              </w:rPr>
              <w:t> </w:t>
            </w:r>
            <w:r>
              <w:rPr>
                <w:sz w:val="18"/>
              </w:rPr>
              <w:t>midday</w:t>
            </w:r>
            <w:r>
              <w:rPr>
                <w:spacing w:val="-6"/>
                <w:sz w:val="18"/>
              </w:rPr>
              <w:t> </w:t>
            </w:r>
            <w:r>
              <w:rPr>
                <w:spacing w:val="-5"/>
                <w:sz w:val="18"/>
              </w:rPr>
              <w:t>sun</w:t>
            </w:r>
          </w:p>
        </w:tc>
        <w:tc>
          <w:tcPr>
            <w:tcW w:w="1599" w:type="dxa"/>
          </w:tcPr>
          <w:p>
            <w:pPr>
              <w:pStyle w:val="TableParagraph"/>
              <w:jc w:val="left"/>
              <w:rPr>
                <w:sz w:val="14"/>
              </w:rPr>
            </w:pPr>
          </w:p>
        </w:tc>
        <w:tc>
          <w:tcPr>
            <w:tcW w:w="812" w:type="dxa"/>
          </w:tcPr>
          <w:p>
            <w:pPr>
              <w:pStyle w:val="TableParagraph"/>
              <w:jc w:val="left"/>
              <w:rPr>
                <w:sz w:val="14"/>
              </w:rPr>
            </w:pPr>
          </w:p>
        </w:tc>
      </w:tr>
      <w:tr>
        <w:trPr>
          <w:trHeight w:val="207" w:hRule="atLeast"/>
        </w:trPr>
        <w:tc>
          <w:tcPr>
            <w:tcW w:w="2198" w:type="dxa"/>
          </w:tcPr>
          <w:p>
            <w:pPr>
              <w:pStyle w:val="TableParagraph"/>
              <w:spacing w:line="188" w:lineRule="exact"/>
              <w:ind w:left="467"/>
              <w:jc w:val="left"/>
              <w:rPr>
                <w:sz w:val="18"/>
              </w:rPr>
            </w:pPr>
            <w:r>
              <w:rPr>
                <w:spacing w:val="-5"/>
                <w:sz w:val="18"/>
              </w:rPr>
              <w:t>No</w:t>
            </w:r>
          </w:p>
        </w:tc>
        <w:tc>
          <w:tcPr>
            <w:tcW w:w="1599" w:type="dxa"/>
          </w:tcPr>
          <w:p>
            <w:pPr>
              <w:pStyle w:val="TableParagraph"/>
              <w:spacing w:line="188" w:lineRule="exact"/>
              <w:ind w:left="70" w:right="1"/>
              <w:rPr>
                <w:sz w:val="18"/>
              </w:rPr>
            </w:pPr>
            <w:r>
              <w:rPr>
                <w:spacing w:val="-4"/>
                <w:sz w:val="18"/>
              </w:rPr>
              <w:t>1.00</w:t>
            </w:r>
          </w:p>
        </w:tc>
        <w:tc>
          <w:tcPr>
            <w:tcW w:w="812" w:type="dxa"/>
          </w:tcPr>
          <w:p>
            <w:pPr>
              <w:pStyle w:val="TableParagraph"/>
              <w:jc w:val="left"/>
              <w:rPr>
                <w:sz w:val="14"/>
              </w:rPr>
            </w:pPr>
          </w:p>
        </w:tc>
      </w:tr>
      <w:tr>
        <w:trPr>
          <w:trHeight w:val="202" w:hRule="atLeast"/>
        </w:trPr>
        <w:tc>
          <w:tcPr>
            <w:tcW w:w="2198" w:type="dxa"/>
          </w:tcPr>
          <w:p>
            <w:pPr>
              <w:pStyle w:val="TableParagraph"/>
              <w:tabs>
                <w:tab w:pos="467" w:val="left" w:leader="none"/>
                <w:tab w:pos="2431" w:val="left" w:leader="none"/>
              </w:tabs>
              <w:spacing w:line="183" w:lineRule="exact"/>
              <w:ind w:left="-15" w:right="-245"/>
              <w:jc w:val="left"/>
              <w:rPr>
                <w:sz w:val="18"/>
              </w:rPr>
            </w:pPr>
            <w:r>
              <w:rPr>
                <w:sz w:val="18"/>
                <w:u w:val="single"/>
              </w:rPr>
              <w:tab/>
            </w:r>
            <w:r>
              <w:rPr>
                <w:spacing w:val="-5"/>
                <w:sz w:val="18"/>
                <w:u w:val="single"/>
              </w:rPr>
              <w:t>Yes</w:t>
            </w:r>
            <w:r>
              <w:rPr>
                <w:sz w:val="18"/>
                <w:u w:val="single"/>
              </w:rPr>
              <w:tab/>
            </w:r>
          </w:p>
        </w:tc>
        <w:tc>
          <w:tcPr>
            <w:tcW w:w="1599" w:type="dxa"/>
          </w:tcPr>
          <w:p>
            <w:pPr>
              <w:pStyle w:val="TableParagraph"/>
              <w:tabs>
                <w:tab w:pos="1800" w:val="left" w:leader="none"/>
              </w:tabs>
              <w:spacing w:line="183" w:lineRule="exact"/>
              <w:ind w:left="233" w:right="-202"/>
              <w:jc w:val="left"/>
              <w:rPr>
                <w:sz w:val="18"/>
              </w:rPr>
            </w:pPr>
            <w:r>
              <w:rPr>
                <w:sz w:val="18"/>
                <w:u w:val="single"/>
              </w:rPr>
              <w:t>0.52</w:t>
            </w:r>
            <w:r>
              <w:rPr>
                <w:spacing w:val="-4"/>
                <w:sz w:val="18"/>
                <w:u w:val="single"/>
              </w:rPr>
              <w:t> </w:t>
            </w:r>
            <w:r>
              <w:rPr>
                <w:sz w:val="18"/>
                <w:u w:val="single"/>
              </w:rPr>
              <w:t>(0.32,</w:t>
            </w:r>
            <w:r>
              <w:rPr>
                <w:spacing w:val="-3"/>
                <w:sz w:val="18"/>
                <w:u w:val="single"/>
              </w:rPr>
              <w:t> </w:t>
            </w:r>
            <w:r>
              <w:rPr>
                <w:spacing w:val="-2"/>
                <w:sz w:val="18"/>
                <w:u w:val="single"/>
              </w:rPr>
              <w:t>0.84)</w:t>
            </w:r>
            <w:r>
              <w:rPr>
                <w:sz w:val="18"/>
                <w:u w:val="single"/>
              </w:rPr>
              <w:tab/>
            </w:r>
          </w:p>
        </w:tc>
        <w:tc>
          <w:tcPr>
            <w:tcW w:w="812" w:type="dxa"/>
          </w:tcPr>
          <w:p>
            <w:pPr>
              <w:pStyle w:val="TableParagraph"/>
              <w:tabs>
                <w:tab w:pos="810" w:val="left" w:leader="none"/>
              </w:tabs>
              <w:spacing w:line="183" w:lineRule="exact"/>
              <w:ind w:left="201"/>
              <w:jc w:val="left"/>
              <w:rPr>
                <w:sz w:val="18"/>
              </w:rPr>
            </w:pPr>
            <w:r>
              <w:rPr>
                <w:spacing w:val="-2"/>
                <w:sz w:val="18"/>
                <w:u w:val="single"/>
              </w:rPr>
              <w:t>0.008</w:t>
            </w:r>
            <w:r>
              <w:rPr>
                <w:sz w:val="18"/>
                <w:u w:val="single"/>
              </w:rPr>
              <w:tab/>
            </w:r>
          </w:p>
        </w:tc>
      </w:tr>
    </w:tbl>
    <w:p>
      <w:pPr>
        <w:pStyle w:val="BodyText"/>
        <w:spacing w:before="14"/>
        <w:ind w:left="347" w:right="449"/>
      </w:pPr>
      <w:r>
        <w:rPr/>
        <w:t>*Adjusted</w:t>
      </w:r>
      <w:r>
        <w:rPr>
          <w:spacing w:val="-8"/>
        </w:rPr>
        <w:t> </w:t>
      </w:r>
      <w:r>
        <w:rPr/>
        <w:t>for</w:t>
      </w:r>
      <w:r>
        <w:rPr>
          <w:spacing w:val="-7"/>
        </w:rPr>
        <w:t> </w:t>
      </w:r>
      <w:r>
        <w:rPr/>
        <w:t>age,</w:t>
      </w:r>
      <w:r>
        <w:rPr>
          <w:spacing w:val="-5"/>
        </w:rPr>
        <w:t> </w:t>
      </w:r>
      <w:r>
        <w:rPr/>
        <w:t>gender</w:t>
      </w:r>
      <w:r>
        <w:rPr>
          <w:spacing w:val="-4"/>
        </w:rPr>
        <w:t> </w:t>
      </w:r>
      <w:r>
        <w:rPr/>
        <w:t>and</w:t>
      </w:r>
      <w:r>
        <w:rPr>
          <w:spacing w:val="-5"/>
        </w:rPr>
        <w:t> </w:t>
      </w:r>
      <w:r>
        <w:rPr/>
        <w:t>skin</w:t>
      </w:r>
      <w:r>
        <w:rPr>
          <w:spacing w:val="-5"/>
        </w:rPr>
        <w:t> </w:t>
      </w:r>
      <w:r>
        <w:rPr/>
        <w:t>type</w:t>
      </w:r>
      <w:r>
        <w:rPr>
          <w:spacing w:val="-5"/>
        </w:rPr>
        <w:t> </w:t>
      </w:r>
      <w:r>
        <w:rPr/>
        <w:t>(light dark, darker, dark skin)</w:t>
      </w:r>
    </w:p>
    <w:p>
      <w:pPr>
        <w:spacing w:after="0"/>
        <w:sectPr>
          <w:pgSz w:w="12240" w:h="15840"/>
          <w:pgMar w:header="699" w:footer="1070" w:top="1340" w:bottom="1260" w:left="1200" w:right="880"/>
          <w:cols w:num="2" w:equalWidth="0">
            <w:col w:w="4606" w:space="326"/>
            <w:col w:w="5228"/>
          </w:cols>
        </w:sectPr>
      </w:pPr>
    </w:p>
    <w:p>
      <w:pPr>
        <w:pStyle w:val="BodyText"/>
        <w:spacing w:before="88"/>
      </w:pPr>
    </w:p>
    <w:p>
      <w:pPr>
        <w:pStyle w:val="Heading2"/>
        <w:ind w:left="1728"/>
      </w:pPr>
      <w:r>
        <w:rPr>
          <w:spacing w:val="-2"/>
        </w:rPr>
        <w:t>DISCUSSION</w:t>
      </w:r>
    </w:p>
    <w:p>
      <w:pPr>
        <w:pStyle w:val="BodyText"/>
        <w:spacing w:before="248"/>
        <w:ind w:left="239" w:right="38"/>
        <w:jc w:val="both"/>
      </w:pPr>
      <w:r>
        <w:rPr/>
        <w:t>Exposure to</w:t>
      </w:r>
      <w:r>
        <w:rPr>
          <w:spacing w:val="-3"/>
        </w:rPr>
        <w:t> </w:t>
      </w:r>
      <w:r>
        <w:rPr/>
        <w:t>sunlight is the</w:t>
      </w:r>
      <w:r>
        <w:rPr>
          <w:spacing w:val="-2"/>
        </w:rPr>
        <w:t> </w:t>
      </w:r>
      <w:r>
        <w:rPr/>
        <w:t>most important cause of</w:t>
      </w:r>
      <w:r>
        <w:rPr>
          <w:spacing w:val="-1"/>
        </w:rPr>
        <w:t> </w:t>
      </w:r>
      <w:r>
        <w:rPr/>
        <w:t>skin</w:t>
      </w:r>
      <w:r>
        <w:rPr>
          <w:spacing w:val="-4"/>
        </w:rPr>
        <w:t> </w:t>
      </w:r>
      <w:r>
        <w:rPr/>
        <w:t>cancers</w:t>
      </w:r>
      <w:r>
        <w:rPr>
          <w:spacing w:val="-1"/>
        </w:rPr>
        <w:t> </w:t>
      </w:r>
      <w:r>
        <w:rPr/>
        <w:t>(National Cancer</w:t>
      </w:r>
      <w:r>
        <w:rPr>
          <w:spacing w:val="-1"/>
        </w:rPr>
        <w:t> </w:t>
      </w:r>
      <w:r>
        <w:rPr/>
        <w:t>Institute</w:t>
      </w:r>
      <w:r>
        <w:rPr>
          <w:spacing w:val="-3"/>
        </w:rPr>
        <w:t> </w:t>
      </w:r>
      <w:r>
        <w:rPr/>
        <w:t>[NCI], 2011) because sunlight contains UV radiations that mutate cellular DNA. Specifically, UVA</w:t>
      </w:r>
      <w:r>
        <w:rPr>
          <w:spacing w:val="40"/>
        </w:rPr>
        <w:t> </w:t>
      </w:r>
      <w:r>
        <w:rPr/>
        <w:t>and UVB radiation are known to directly and indirectly mutate tumor suppressor genes that protect the DNA (Waster &amp; Ollinger, 2009). Therefore, reducing sunlight exposure is the most important preventive measure in avoiding skin cancer. Since the intensity of UV radiations depends on the geographical area, California receives stronger UV radiations as compared to Maryland. Therefore, southern California is expected to have higher incidences of all types</w:t>
      </w:r>
      <w:r>
        <w:rPr>
          <w:spacing w:val="40"/>
        </w:rPr>
        <w:t> </w:t>
      </w:r>
      <w:r>
        <w:rPr/>
        <w:t>of skin cancers as compared to Maryland based on the latitudinal and UV gradient (U.S. Department of Health and Human Services, </w:t>
      </w:r>
      <w:r>
        <w:rPr>
          <w:spacing w:val="-2"/>
        </w:rPr>
        <w:t>1983).</w:t>
      </w:r>
    </w:p>
    <w:p>
      <w:pPr>
        <w:pStyle w:val="BodyText"/>
      </w:pPr>
    </w:p>
    <w:p>
      <w:pPr>
        <w:pStyle w:val="BodyText"/>
        <w:ind w:left="239" w:right="38"/>
        <w:jc w:val="both"/>
      </w:pPr>
      <w:r>
        <w:rPr/>
        <w:t>The results of this study suggest that California students are more likely to practice sun protection behaviors, such as using sunscreen and covering up exposed skin, as compared to Maryland students (Table 4 and 5). Although Maryland students were more likely to avoid the midday sun, because the region has high humidity, this practice could stem from efforts</w:t>
      </w:r>
      <w:r>
        <w:rPr>
          <w:spacing w:val="80"/>
        </w:rPr>
        <w:t> </w:t>
      </w:r>
      <w:r>
        <w:rPr/>
        <w:t>to avoid the heat from the sun during those peak hours rather than to protect themselves from the harmful effects of UV radiations. This is further supported by the fact that Maryland students were less likely to use sunscreen and cover up exposed</w:t>
      </w:r>
      <w:r>
        <w:rPr>
          <w:spacing w:val="-4"/>
        </w:rPr>
        <w:t> </w:t>
      </w:r>
      <w:r>
        <w:rPr/>
        <w:t>skin</w:t>
      </w:r>
      <w:r>
        <w:rPr>
          <w:spacing w:val="-3"/>
        </w:rPr>
        <w:t> </w:t>
      </w:r>
      <w:r>
        <w:rPr/>
        <w:t>as</w:t>
      </w:r>
      <w:r>
        <w:rPr>
          <w:spacing w:val="-3"/>
        </w:rPr>
        <w:t> </w:t>
      </w:r>
      <w:r>
        <w:rPr/>
        <w:t>compared</w:t>
      </w:r>
      <w:r>
        <w:rPr>
          <w:spacing w:val="-6"/>
        </w:rPr>
        <w:t> </w:t>
      </w:r>
      <w:r>
        <w:rPr/>
        <w:t>to</w:t>
      </w:r>
      <w:r>
        <w:rPr>
          <w:spacing w:val="-3"/>
        </w:rPr>
        <w:t> </w:t>
      </w:r>
      <w:r>
        <w:rPr/>
        <w:t>California</w:t>
      </w:r>
      <w:r>
        <w:rPr>
          <w:spacing w:val="-3"/>
        </w:rPr>
        <w:t> </w:t>
      </w:r>
      <w:r>
        <w:rPr>
          <w:spacing w:val="-2"/>
        </w:rPr>
        <w:t>students.</w:t>
      </w:r>
    </w:p>
    <w:p>
      <w:pPr>
        <w:pStyle w:val="BodyText"/>
        <w:spacing w:before="252"/>
        <w:ind w:left="239" w:right="38"/>
        <w:jc w:val="both"/>
      </w:pPr>
      <w:r>
        <w:rPr/>
        <w:t>This study suggests that procedural knowledge (e.g., skin cancer risk factors and sun protection methods) is more likely to be associated with</w:t>
      </w:r>
      <w:r>
        <w:rPr>
          <w:spacing w:val="40"/>
        </w:rPr>
        <w:t> </w:t>
      </w:r>
      <w:r>
        <w:rPr/>
        <w:t>sun protection behaviors than declarative knowledge (e.g., causes of skin cancer). Maryland students were significantly more knowledgeable</w:t>
      </w:r>
      <w:r>
        <w:rPr>
          <w:spacing w:val="-4"/>
        </w:rPr>
        <w:t> </w:t>
      </w:r>
      <w:r>
        <w:rPr/>
        <w:t>about</w:t>
      </w:r>
      <w:r>
        <w:rPr>
          <w:spacing w:val="-6"/>
        </w:rPr>
        <w:t> </w:t>
      </w:r>
      <w:r>
        <w:rPr/>
        <w:t>the</w:t>
      </w:r>
      <w:r>
        <w:rPr>
          <w:spacing w:val="-6"/>
        </w:rPr>
        <w:t> </w:t>
      </w:r>
      <w:r>
        <w:rPr/>
        <w:t>cause</w:t>
      </w:r>
      <w:r>
        <w:rPr>
          <w:spacing w:val="-4"/>
        </w:rPr>
        <w:t> </w:t>
      </w:r>
      <w:r>
        <w:rPr/>
        <w:t>of</w:t>
      </w:r>
      <w:r>
        <w:rPr>
          <w:spacing w:val="-6"/>
        </w:rPr>
        <w:t> </w:t>
      </w:r>
      <w:r>
        <w:rPr/>
        <w:t>skin</w:t>
      </w:r>
      <w:r>
        <w:rPr>
          <w:spacing w:val="-4"/>
        </w:rPr>
        <w:t> </w:t>
      </w:r>
      <w:r>
        <w:rPr/>
        <w:t>cancer;</w:t>
      </w:r>
      <w:r>
        <w:rPr>
          <w:spacing w:val="-6"/>
        </w:rPr>
        <w:t> </w:t>
      </w:r>
      <w:r>
        <w:rPr/>
        <w:t>in contrast, California students were more knowledgeable about risk factors for skin cancer (e.g., sunbathing without sunscreen, fair skin with freckles, and getting sunburned as an adult) and more knowledgeable about sun protection behaviors</w:t>
      </w:r>
      <w:r>
        <w:rPr>
          <w:spacing w:val="28"/>
        </w:rPr>
        <w:t> </w:t>
      </w:r>
      <w:r>
        <w:rPr/>
        <w:t>(e.g.,</w:t>
      </w:r>
      <w:r>
        <w:rPr>
          <w:spacing w:val="28"/>
        </w:rPr>
        <w:t> </w:t>
      </w:r>
      <w:r>
        <w:rPr/>
        <w:t>using</w:t>
      </w:r>
      <w:r>
        <w:rPr>
          <w:spacing w:val="25"/>
        </w:rPr>
        <w:t> </w:t>
      </w:r>
      <w:r>
        <w:rPr/>
        <w:t>sunscreen</w:t>
      </w:r>
      <w:r>
        <w:rPr>
          <w:spacing w:val="28"/>
        </w:rPr>
        <w:t> </w:t>
      </w:r>
      <w:r>
        <w:rPr/>
        <w:t>with</w:t>
      </w:r>
      <w:r>
        <w:rPr>
          <w:spacing w:val="28"/>
        </w:rPr>
        <w:t> </w:t>
      </w:r>
      <w:r>
        <w:rPr/>
        <w:t>SPF</w:t>
      </w:r>
      <w:r>
        <w:rPr>
          <w:spacing w:val="28"/>
        </w:rPr>
        <w:t> </w:t>
      </w:r>
      <w:r>
        <w:rPr>
          <w:spacing w:val="-4"/>
        </w:rPr>
        <w:t>15+,</w:t>
      </w:r>
    </w:p>
    <w:p>
      <w:pPr>
        <w:pStyle w:val="BodyText"/>
        <w:spacing w:before="81"/>
        <w:ind w:left="240" w:right="555"/>
        <w:jc w:val="both"/>
      </w:pPr>
      <w:r>
        <w:rPr/>
        <w:br w:type="column"/>
      </w:r>
      <w:r>
        <w:rPr/>
        <w:t>staying in the shade, and avoiding sun’s</w:t>
      </w:r>
      <w:r>
        <w:rPr>
          <w:spacing w:val="40"/>
        </w:rPr>
        <w:t> </w:t>
      </w:r>
      <w:r>
        <w:rPr/>
        <w:t>strongest reflection).</w:t>
      </w:r>
    </w:p>
    <w:p>
      <w:pPr>
        <w:pStyle w:val="BodyText"/>
      </w:pPr>
    </w:p>
    <w:p>
      <w:pPr>
        <w:pStyle w:val="BodyText"/>
        <w:ind w:left="239" w:right="552"/>
        <w:jc w:val="both"/>
      </w:pPr>
      <w:r>
        <w:rPr/>
        <w:t>In order to understand the knowledge discrepancy between these two groups of students, we compared the skin cancer information from the California Department of Public Health and the Maryland Department of Health and Mental Hygiene. These two agencies provided the same information on skin cancer including the risk factors and prevention behaviors. The difference in knowledge in the two groups of students, therefore, may not be based on the educational material provided by the state. Hence, the fact that African American students in California have more procedural knowledge than Maryland students could be related to knowledge indirectly from cancer educational efforts directed towards other populations with</w:t>
      </w:r>
      <w:r>
        <w:rPr>
          <w:spacing w:val="-3"/>
        </w:rPr>
        <w:t> </w:t>
      </w:r>
      <w:r>
        <w:rPr/>
        <w:t>fair skin (e.g., Caucasians). For instance, California African American students knew that one of the risk factors for skin cancer is having</w:t>
      </w:r>
      <w:r>
        <w:rPr>
          <w:spacing w:val="-3"/>
        </w:rPr>
        <w:t> </w:t>
      </w:r>
      <w:r>
        <w:rPr/>
        <w:t>fair skin</w:t>
      </w:r>
      <w:r>
        <w:rPr>
          <w:spacing w:val="-1"/>
        </w:rPr>
        <w:t> </w:t>
      </w:r>
      <w:r>
        <w:rPr/>
        <w:t>with</w:t>
      </w:r>
      <w:r>
        <w:rPr>
          <w:spacing w:val="-1"/>
        </w:rPr>
        <w:t> </w:t>
      </w:r>
      <w:r>
        <w:rPr/>
        <w:t>freckles,</w:t>
      </w:r>
      <w:r>
        <w:rPr>
          <w:spacing w:val="-1"/>
        </w:rPr>
        <w:t> </w:t>
      </w:r>
      <w:r>
        <w:rPr/>
        <w:t>which</w:t>
      </w:r>
      <w:r>
        <w:rPr>
          <w:spacing w:val="-1"/>
        </w:rPr>
        <w:t> </w:t>
      </w:r>
      <w:r>
        <w:rPr/>
        <w:t>is a more common physical feature among Caucasians. Accordingly, the ratio of African Americans to other races such</w:t>
      </w:r>
      <w:r>
        <w:rPr>
          <w:spacing w:val="-1"/>
        </w:rPr>
        <w:t> </w:t>
      </w:r>
      <w:r>
        <w:rPr/>
        <w:t>as Caucasians is</w:t>
      </w:r>
      <w:r>
        <w:rPr>
          <w:spacing w:val="-1"/>
        </w:rPr>
        <w:t> </w:t>
      </w:r>
      <w:r>
        <w:rPr/>
        <w:t>much higher in Maryland (1:2) than California (1:9) (U.S. Census, 2013). It is possible that stricter adherence to sun protection behaviors by the large Caucasian population in California, who are more predisposed to skin cancer, may help increase skin cancer awareness among the African American population as a form of procedural knowledge without necessarily impacting their declarative knowledge as to knowing why they engage in the behavior.</w:t>
      </w:r>
    </w:p>
    <w:p>
      <w:pPr>
        <w:pStyle w:val="BodyText"/>
        <w:spacing w:before="251"/>
        <w:ind w:left="239" w:right="554"/>
        <w:jc w:val="both"/>
      </w:pPr>
      <w:r>
        <w:rPr/>
        <w:t>California residents may be engaging in more protective behaviors than Maryland residents</w:t>
      </w:r>
      <w:r>
        <w:rPr>
          <w:spacing w:val="40"/>
        </w:rPr>
        <w:t> </w:t>
      </w:r>
      <w:r>
        <w:rPr/>
        <w:t>due to climate or temperature differences and subsequent differences in frequency of participation in outdoor activities. In California, the</w:t>
      </w:r>
      <w:r>
        <w:rPr>
          <w:spacing w:val="-1"/>
        </w:rPr>
        <w:t> </w:t>
      </w:r>
      <w:r>
        <w:rPr/>
        <w:t>climate</w:t>
      </w:r>
      <w:r>
        <w:rPr>
          <w:spacing w:val="-2"/>
        </w:rPr>
        <w:t> </w:t>
      </w:r>
      <w:r>
        <w:rPr/>
        <w:t>is</w:t>
      </w:r>
      <w:r>
        <w:rPr>
          <w:spacing w:val="-1"/>
        </w:rPr>
        <w:t> </w:t>
      </w:r>
      <w:r>
        <w:rPr/>
        <w:t>warmer</w:t>
      </w:r>
      <w:r>
        <w:rPr>
          <w:spacing w:val="-1"/>
        </w:rPr>
        <w:t> </w:t>
      </w:r>
      <w:r>
        <w:rPr/>
        <w:t>and</w:t>
      </w:r>
      <w:r>
        <w:rPr>
          <w:spacing w:val="-2"/>
        </w:rPr>
        <w:t> </w:t>
      </w:r>
      <w:r>
        <w:rPr/>
        <w:t>less</w:t>
      </w:r>
      <w:r>
        <w:rPr>
          <w:spacing w:val="-1"/>
        </w:rPr>
        <w:t> </w:t>
      </w:r>
      <w:r>
        <w:rPr/>
        <w:t>humid</w:t>
      </w:r>
      <w:r>
        <w:rPr>
          <w:spacing w:val="-2"/>
        </w:rPr>
        <w:t> </w:t>
      </w:r>
      <w:r>
        <w:rPr/>
        <w:t>throughout the year (Visit California, 2011) than in Maryland (Visit Maryland, 2011). Temperature affects</w:t>
      </w:r>
      <w:r>
        <w:rPr>
          <w:spacing w:val="-2"/>
        </w:rPr>
        <w:t> </w:t>
      </w:r>
      <w:r>
        <w:rPr/>
        <w:t>the</w:t>
      </w:r>
      <w:r>
        <w:rPr>
          <w:spacing w:val="-2"/>
        </w:rPr>
        <w:t> </w:t>
      </w:r>
      <w:r>
        <w:rPr/>
        <w:t>kind</w:t>
      </w:r>
      <w:r>
        <w:rPr>
          <w:spacing w:val="-3"/>
        </w:rPr>
        <w:t> </w:t>
      </w:r>
      <w:r>
        <w:rPr/>
        <w:t>of</w:t>
      </w:r>
      <w:r>
        <w:rPr>
          <w:spacing w:val="-2"/>
        </w:rPr>
        <w:t> </w:t>
      </w:r>
      <w:r>
        <w:rPr/>
        <w:t>activities people participate</w:t>
      </w:r>
      <w:r>
        <w:rPr>
          <w:spacing w:val="-2"/>
        </w:rPr>
        <w:t> </w:t>
      </w:r>
      <w:r>
        <w:rPr/>
        <w:t>in because warmer temperatures will encourage more outdoor activities. In Maryland, where the winter</w:t>
      </w:r>
      <w:r>
        <w:rPr>
          <w:spacing w:val="-3"/>
        </w:rPr>
        <w:t> </w:t>
      </w:r>
      <w:r>
        <w:rPr/>
        <w:t>and</w:t>
      </w:r>
      <w:r>
        <w:rPr>
          <w:spacing w:val="-4"/>
        </w:rPr>
        <w:t> </w:t>
      </w:r>
      <w:r>
        <w:rPr/>
        <w:t>fall</w:t>
      </w:r>
      <w:r>
        <w:rPr>
          <w:spacing w:val="-3"/>
        </w:rPr>
        <w:t> </w:t>
      </w:r>
      <w:r>
        <w:rPr/>
        <w:t>seasons</w:t>
      </w:r>
      <w:r>
        <w:rPr>
          <w:spacing w:val="-6"/>
        </w:rPr>
        <w:t> </w:t>
      </w:r>
      <w:r>
        <w:rPr/>
        <w:t>limit</w:t>
      </w:r>
      <w:r>
        <w:rPr>
          <w:spacing w:val="-3"/>
        </w:rPr>
        <w:t> </w:t>
      </w:r>
      <w:r>
        <w:rPr/>
        <w:t>the</w:t>
      </w:r>
      <w:r>
        <w:rPr>
          <w:spacing w:val="-4"/>
        </w:rPr>
        <w:t> </w:t>
      </w:r>
      <w:r>
        <w:rPr/>
        <w:t>kinds</w:t>
      </w:r>
      <w:r>
        <w:rPr>
          <w:spacing w:val="-4"/>
        </w:rPr>
        <w:t> </w:t>
      </w:r>
      <w:r>
        <w:rPr/>
        <w:t>of</w:t>
      </w:r>
      <w:r>
        <w:rPr>
          <w:spacing w:val="-3"/>
        </w:rPr>
        <w:t> </w:t>
      </w:r>
      <w:r>
        <w:rPr/>
        <w:t>outdoor activities people participate in, people are less likely</w:t>
      </w:r>
      <w:r>
        <w:rPr>
          <w:spacing w:val="3"/>
        </w:rPr>
        <w:t> </w:t>
      </w:r>
      <w:r>
        <w:rPr/>
        <w:t>to</w:t>
      </w:r>
      <w:r>
        <w:rPr>
          <w:spacing w:val="8"/>
        </w:rPr>
        <w:t> </w:t>
      </w:r>
      <w:r>
        <w:rPr/>
        <w:t>be</w:t>
      </w:r>
      <w:r>
        <w:rPr>
          <w:spacing w:val="9"/>
        </w:rPr>
        <w:t> </w:t>
      </w:r>
      <w:r>
        <w:rPr/>
        <w:t>exposed</w:t>
      </w:r>
      <w:r>
        <w:rPr>
          <w:spacing w:val="8"/>
        </w:rPr>
        <w:t> </w:t>
      </w:r>
      <w:r>
        <w:rPr/>
        <w:t>to</w:t>
      </w:r>
      <w:r>
        <w:rPr>
          <w:spacing w:val="6"/>
        </w:rPr>
        <w:t> </w:t>
      </w:r>
      <w:r>
        <w:rPr/>
        <w:t>sunlight</w:t>
      </w:r>
      <w:r>
        <w:rPr>
          <w:spacing w:val="9"/>
        </w:rPr>
        <w:t> </w:t>
      </w:r>
      <w:r>
        <w:rPr/>
        <w:t>and</w:t>
      </w:r>
      <w:r>
        <w:rPr>
          <w:spacing w:val="6"/>
        </w:rPr>
        <w:t> </w:t>
      </w:r>
      <w:r>
        <w:rPr/>
        <w:t>practice</w:t>
      </w:r>
      <w:r>
        <w:rPr>
          <w:spacing w:val="6"/>
        </w:rPr>
        <w:t> </w:t>
      </w:r>
      <w:r>
        <w:rPr>
          <w:spacing w:val="-5"/>
        </w:rPr>
        <w:t>sun</w:t>
      </w:r>
    </w:p>
    <w:p>
      <w:pPr>
        <w:spacing w:after="0"/>
        <w:jc w:val="both"/>
        <w:sectPr>
          <w:pgSz w:w="12240" w:h="15840"/>
          <w:pgMar w:header="699" w:footer="1070" w:top="1340" w:bottom="1260" w:left="1200" w:right="880"/>
          <w:cols w:num="2" w:equalWidth="0">
            <w:col w:w="4604" w:space="435"/>
            <w:col w:w="5121"/>
          </w:cols>
        </w:sectPr>
      </w:pPr>
    </w:p>
    <w:p>
      <w:pPr>
        <w:pStyle w:val="BodyText"/>
        <w:spacing w:before="84"/>
        <w:ind w:left="240" w:right="88"/>
        <w:jc w:val="both"/>
      </w:pPr>
      <w:r>
        <w:rPr/>
        <w:t>protection behaviors as compared to those who live in California. More favorable outdoor temperatures throughout the year will likely affect the sun protective behaviors of African Americans in California. For example, this</w:t>
      </w:r>
      <w:r>
        <w:rPr>
          <w:spacing w:val="40"/>
        </w:rPr>
        <w:t> </w:t>
      </w:r>
      <w:r>
        <w:rPr/>
        <w:t>might</w:t>
      </w:r>
      <w:r>
        <w:rPr>
          <w:spacing w:val="-3"/>
        </w:rPr>
        <w:t> </w:t>
      </w:r>
      <w:r>
        <w:rPr/>
        <w:t>be</w:t>
      </w:r>
      <w:r>
        <w:rPr>
          <w:spacing w:val="-4"/>
        </w:rPr>
        <w:t> </w:t>
      </w:r>
      <w:r>
        <w:rPr/>
        <w:t>one</w:t>
      </w:r>
      <w:r>
        <w:rPr>
          <w:spacing w:val="-4"/>
        </w:rPr>
        <w:t> </w:t>
      </w:r>
      <w:r>
        <w:rPr/>
        <w:t>of</w:t>
      </w:r>
      <w:r>
        <w:rPr>
          <w:spacing w:val="-3"/>
        </w:rPr>
        <w:t> </w:t>
      </w:r>
      <w:r>
        <w:rPr/>
        <w:t>the</w:t>
      </w:r>
      <w:r>
        <w:rPr>
          <w:spacing w:val="-4"/>
        </w:rPr>
        <w:t> </w:t>
      </w:r>
      <w:r>
        <w:rPr/>
        <w:t>reasons</w:t>
      </w:r>
      <w:r>
        <w:rPr>
          <w:spacing w:val="-6"/>
        </w:rPr>
        <w:t> </w:t>
      </w:r>
      <w:r>
        <w:rPr/>
        <w:t>why</w:t>
      </w:r>
      <w:r>
        <w:rPr>
          <w:spacing w:val="-4"/>
        </w:rPr>
        <w:t> </w:t>
      </w:r>
      <w:r>
        <w:rPr/>
        <w:t>more</w:t>
      </w:r>
      <w:r>
        <w:rPr>
          <w:spacing w:val="-4"/>
        </w:rPr>
        <w:t> </w:t>
      </w:r>
      <w:r>
        <w:rPr/>
        <w:t>California students did not avoid midday sun between</w:t>
      </w:r>
      <w:r>
        <w:rPr>
          <w:spacing w:val="40"/>
        </w:rPr>
        <w:t> </w:t>
      </w:r>
      <w:r>
        <w:rPr/>
        <w:t>10am</w:t>
      </w:r>
      <w:r>
        <w:rPr>
          <w:spacing w:val="-3"/>
        </w:rPr>
        <w:t> </w:t>
      </w:r>
      <w:r>
        <w:rPr/>
        <w:t>to 3pm</w:t>
      </w:r>
      <w:r>
        <w:rPr>
          <w:spacing w:val="-3"/>
        </w:rPr>
        <w:t> </w:t>
      </w:r>
      <w:r>
        <w:rPr/>
        <w:t>as compared</w:t>
      </w:r>
      <w:r>
        <w:rPr>
          <w:spacing w:val="-2"/>
        </w:rPr>
        <w:t> </w:t>
      </w:r>
      <w:r>
        <w:rPr/>
        <w:t>to Maryland students. In addition, since Californians spend more time outdoors, there may be a greater effort by the state public health agencies to get the skin</w:t>
      </w:r>
      <w:r>
        <w:rPr>
          <w:spacing w:val="40"/>
        </w:rPr>
        <w:t> </w:t>
      </w:r>
      <w:r>
        <w:rPr/>
        <w:t>cancer message out to the public.</w:t>
      </w:r>
    </w:p>
    <w:p>
      <w:pPr>
        <w:pStyle w:val="BodyText"/>
        <w:spacing w:before="251"/>
        <w:ind w:left="239" w:right="89"/>
        <w:jc w:val="both"/>
      </w:pPr>
      <w:r>
        <w:rPr/>
        <w:t>Our</w:t>
      </w:r>
      <w:r>
        <w:rPr>
          <w:spacing w:val="-2"/>
        </w:rPr>
        <w:t> </w:t>
      </w:r>
      <w:r>
        <w:rPr/>
        <w:t>findings</w:t>
      </w:r>
      <w:r>
        <w:rPr>
          <w:spacing w:val="-2"/>
        </w:rPr>
        <w:t> </w:t>
      </w:r>
      <w:r>
        <w:rPr/>
        <w:t>are</w:t>
      </w:r>
      <w:r>
        <w:rPr>
          <w:spacing w:val="-2"/>
        </w:rPr>
        <w:t> </w:t>
      </w:r>
      <w:r>
        <w:rPr/>
        <w:t>consistent</w:t>
      </w:r>
      <w:r>
        <w:rPr>
          <w:spacing w:val="-4"/>
        </w:rPr>
        <w:t> </w:t>
      </w:r>
      <w:r>
        <w:rPr/>
        <w:t>with</w:t>
      </w:r>
      <w:r>
        <w:rPr>
          <w:spacing w:val="-3"/>
        </w:rPr>
        <w:t> </w:t>
      </w:r>
      <w:r>
        <w:rPr/>
        <w:t>previous</w:t>
      </w:r>
      <w:r>
        <w:rPr>
          <w:spacing w:val="-2"/>
        </w:rPr>
        <w:t> </w:t>
      </w:r>
      <w:r>
        <w:rPr/>
        <w:t>studies on risk perception and behavior in African Americans; African American participants showed some degree of concern about getting skin cancer,</w:t>
      </w:r>
      <w:r>
        <w:rPr>
          <w:spacing w:val="-1"/>
        </w:rPr>
        <w:t> </w:t>
      </w:r>
      <w:r>
        <w:rPr/>
        <w:t>but failed to</w:t>
      </w:r>
      <w:r>
        <w:rPr>
          <w:spacing w:val="-1"/>
        </w:rPr>
        <w:t> </w:t>
      </w:r>
      <w:r>
        <w:rPr/>
        <w:t>perceive the severity</w:t>
      </w:r>
      <w:r>
        <w:rPr>
          <w:spacing w:val="-1"/>
        </w:rPr>
        <w:t> </w:t>
      </w:r>
      <w:r>
        <w:rPr/>
        <w:t>of the disease and their susceptibility (Garside, Pearson, &amp; Moxham, 2010; Spradlin, Bass, Hyman, &amp; Keathley, 2010). Kim </w:t>
      </w:r>
      <w:r>
        <w:rPr>
          <w:i/>
        </w:rPr>
        <w:t>et al. </w:t>
      </w:r>
      <w:r>
        <w:rPr/>
        <w:t>(2009) and</w:t>
      </w:r>
      <w:r>
        <w:rPr>
          <w:spacing w:val="-3"/>
        </w:rPr>
        <w:t> </w:t>
      </w:r>
      <w:r>
        <w:rPr/>
        <w:t>Pichon,</w:t>
      </w:r>
      <w:r>
        <w:rPr>
          <w:spacing w:val="-3"/>
        </w:rPr>
        <w:t> </w:t>
      </w:r>
      <w:r>
        <w:rPr/>
        <w:t>Corral,</w:t>
      </w:r>
      <w:r>
        <w:rPr>
          <w:spacing w:val="-3"/>
        </w:rPr>
        <w:t> </w:t>
      </w:r>
      <w:r>
        <w:rPr/>
        <w:t>Landrine,</w:t>
      </w:r>
      <w:r>
        <w:rPr>
          <w:spacing w:val="-3"/>
        </w:rPr>
        <w:t> </w:t>
      </w:r>
      <w:r>
        <w:rPr/>
        <w:t>Mayer,</w:t>
      </w:r>
      <w:r>
        <w:rPr>
          <w:spacing w:val="-3"/>
        </w:rPr>
        <w:t> </w:t>
      </w:r>
      <w:r>
        <w:rPr/>
        <w:t>&amp;</w:t>
      </w:r>
      <w:r>
        <w:rPr>
          <w:spacing w:val="-3"/>
        </w:rPr>
        <w:t> </w:t>
      </w:r>
      <w:r>
        <w:rPr/>
        <w:t>Norman (2010) also found similar low risk perception, with no association to sunscreen use. Similar to our findings, they observed no difference between sex (male/female) and risk perception. The lack</w:t>
      </w:r>
      <w:r>
        <w:rPr>
          <w:spacing w:val="-1"/>
        </w:rPr>
        <w:t> </w:t>
      </w:r>
      <w:r>
        <w:rPr/>
        <w:t>of differences by</w:t>
      </w:r>
      <w:r>
        <w:rPr>
          <w:spacing w:val="-1"/>
        </w:rPr>
        <w:t> </w:t>
      </w:r>
      <w:r>
        <w:rPr/>
        <w:t>sex may</w:t>
      </w:r>
      <w:r>
        <w:rPr>
          <w:spacing w:val="-1"/>
        </w:rPr>
        <w:t> </w:t>
      </w:r>
      <w:r>
        <w:rPr/>
        <w:t>be stemming from the recurrent notion that African</w:t>
      </w:r>
      <w:r>
        <w:rPr>
          <w:spacing w:val="40"/>
        </w:rPr>
        <w:t> </w:t>
      </w:r>
      <w:r>
        <w:rPr/>
        <w:t>Americans do not get skin cancer (Halder &amp; Bridgeman-Shah, 1995). With such a belief, it is possible then that behavior change is low in</w:t>
      </w:r>
      <w:r>
        <w:rPr>
          <w:spacing w:val="80"/>
        </w:rPr>
        <w:t> </w:t>
      </w:r>
      <w:r>
        <w:rPr/>
        <w:t>spite of all the public health efforts in trying to promote protective behavior against skin</w:t>
      </w:r>
      <w:r>
        <w:rPr>
          <w:spacing w:val="-1"/>
        </w:rPr>
        <w:t> </w:t>
      </w:r>
      <w:r>
        <w:rPr/>
        <w:t>cancer.</w:t>
      </w:r>
    </w:p>
    <w:p>
      <w:pPr>
        <w:pStyle w:val="BodyText"/>
      </w:pPr>
    </w:p>
    <w:p>
      <w:pPr>
        <w:pStyle w:val="BodyText"/>
        <w:ind w:left="239" w:right="38"/>
        <w:jc w:val="both"/>
      </w:pPr>
      <w:r>
        <w:rPr/>
        <w:t>Aside from incorrect perception of risk, other barriers may be driving the low rate of sun protection in African Americans. Landrine and Corral (2009) reported a scarcity of drugstores, which can readily provide sunscreen products to the African American neighborhoods</w:t>
      </w:r>
      <w:r>
        <w:rPr>
          <w:spacing w:val="80"/>
        </w:rPr>
        <w:t> </w:t>
      </w:r>
      <w:r>
        <w:rPr/>
        <w:t>irrespective of the income levels. This can stifle any attempt to use sunscreen as a measure to protect against skin cancer. Also, the application of sunscreen to protect against the sun’s UV is perceived as an inconvenience by many, including students, who spend time in the sun (Spradlin, Bass, Hyman, &amp; Keathley, 2010). It may explain why there is no inclination towards sunscreen use or the usage of lower than recommended</w:t>
      </w:r>
      <w:r>
        <w:rPr>
          <w:spacing w:val="-3"/>
        </w:rPr>
        <w:t> </w:t>
      </w:r>
      <w:r>
        <w:rPr/>
        <w:t>doses</w:t>
      </w:r>
      <w:r>
        <w:rPr>
          <w:spacing w:val="-5"/>
        </w:rPr>
        <w:t> </w:t>
      </w:r>
      <w:r>
        <w:rPr/>
        <w:t>of</w:t>
      </w:r>
      <w:r>
        <w:rPr>
          <w:spacing w:val="-2"/>
        </w:rPr>
        <w:t> </w:t>
      </w:r>
      <w:r>
        <w:rPr/>
        <w:t>sunscreen.</w:t>
      </w:r>
      <w:r>
        <w:rPr>
          <w:spacing w:val="-3"/>
        </w:rPr>
        <w:t> </w:t>
      </w:r>
      <w:r>
        <w:rPr/>
        <w:t>Unfortunately, our</w:t>
      </w:r>
      <w:r>
        <w:rPr>
          <w:spacing w:val="80"/>
          <w:w w:val="150"/>
        </w:rPr>
        <w:t> </w:t>
      </w:r>
      <w:r>
        <w:rPr/>
        <w:t>study</w:t>
      </w:r>
      <w:r>
        <w:rPr>
          <w:spacing w:val="80"/>
          <w:w w:val="150"/>
        </w:rPr>
        <w:t> </w:t>
      </w:r>
      <w:r>
        <w:rPr/>
        <w:t>did</w:t>
      </w:r>
      <w:r>
        <w:rPr>
          <w:spacing w:val="80"/>
          <w:w w:val="150"/>
        </w:rPr>
        <w:t> </w:t>
      </w:r>
      <w:r>
        <w:rPr/>
        <w:t>not</w:t>
      </w:r>
      <w:r>
        <w:rPr>
          <w:spacing w:val="80"/>
          <w:w w:val="150"/>
        </w:rPr>
        <w:t> </w:t>
      </w:r>
      <w:r>
        <w:rPr/>
        <w:t>collect</w:t>
      </w:r>
      <w:r>
        <w:rPr>
          <w:spacing w:val="80"/>
          <w:w w:val="150"/>
        </w:rPr>
        <w:t> </w:t>
      </w:r>
      <w:r>
        <w:rPr/>
        <w:t>information</w:t>
      </w:r>
      <w:r>
        <w:rPr>
          <w:spacing w:val="80"/>
          <w:w w:val="150"/>
        </w:rPr>
        <w:t> </w:t>
      </w:r>
      <w:r>
        <w:rPr/>
        <w:t>on</w:t>
      </w:r>
    </w:p>
    <w:p>
      <w:pPr>
        <w:pStyle w:val="BodyText"/>
        <w:spacing w:before="81"/>
        <w:ind w:left="240" w:right="554"/>
        <w:jc w:val="both"/>
      </w:pPr>
      <w:r>
        <w:rPr/>
        <w:br w:type="column"/>
      </w:r>
      <w:r>
        <w:rPr/>
        <w:t>frequency of sunscreen use or sunscreen availability, so we cannot explore these </w:t>
      </w:r>
      <w:r>
        <w:rPr>
          <w:spacing w:val="-2"/>
        </w:rPr>
        <w:t>hypotheses.</w:t>
      </w:r>
    </w:p>
    <w:p>
      <w:pPr>
        <w:pStyle w:val="BodyText"/>
        <w:spacing w:before="5"/>
      </w:pPr>
    </w:p>
    <w:p>
      <w:pPr>
        <w:pStyle w:val="Heading2"/>
        <w:spacing w:line="250" w:lineRule="exact" w:before="1"/>
      </w:pPr>
      <w:r>
        <w:rPr>
          <w:spacing w:val="-2"/>
        </w:rPr>
        <w:t>Implications</w:t>
      </w:r>
    </w:p>
    <w:p>
      <w:pPr>
        <w:pStyle w:val="BodyText"/>
        <w:ind w:left="240" w:right="554"/>
        <w:jc w:val="both"/>
      </w:pPr>
      <w:r>
        <w:rPr/>
        <w:t>Based on this study, it would be appropriate to target sun protection education efforts to all African American students in both California</w:t>
      </w:r>
      <w:r>
        <w:rPr>
          <w:spacing w:val="40"/>
        </w:rPr>
        <w:t> </w:t>
      </w:r>
      <w:r>
        <w:rPr/>
        <w:t>and Maryland, but all the more in Maryland. Current efforts in Maryland have focused on the general public and educational materials have been made available on the program website with special focus on children and adolescents. Information is provided, which mentions that people of all races and ethnic groups are susceptible to skin cancer, including dark- skinned individuals (Center for a Healthy Maryland, 2013). However, this may not be sufficient enough to raise awareness and subsequently influence the behavior of African </w:t>
      </w:r>
      <w:r>
        <w:rPr>
          <w:spacing w:val="-2"/>
        </w:rPr>
        <w:t>Americans.</w:t>
      </w:r>
    </w:p>
    <w:p>
      <w:pPr>
        <w:pStyle w:val="BodyText"/>
        <w:spacing w:before="249"/>
        <w:ind w:left="239" w:right="555"/>
        <w:jc w:val="both"/>
      </w:pPr>
      <w:r>
        <w:rPr/>
        <w:t>There is, therefore, a need for educational information tailored for African Americans to influence knowledge, attitude, and sun</w:t>
      </w:r>
      <w:r>
        <w:rPr>
          <w:spacing w:val="40"/>
        </w:rPr>
        <w:t> </w:t>
      </w:r>
      <w:r>
        <w:rPr/>
        <w:t>protection behaviors towards skin cancer. Sun protection education should be culturally appropriate, so parents and young African Americans can</w:t>
      </w:r>
      <w:r>
        <w:rPr>
          <w:spacing w:val="-1"/>
        </w:rPr>
        <w:t> </w:t>
      </w:r>
      <w:r>
        <w:rPr/>
        <w:t>relate to</w:t>
      </w:r>
      <w:r>
        <w:rPr>
          <w:spacing w:val="-1"/>
        </w:rPr>
        <w:t> </w:t>
      </w:r>
      <w:r>
        <w:rPr/>
        <w:t>the issues of skin cancer and then, in turn, reinforce protective behavior</w:t>
      </w:r>
      <w:r>
        <w:rPr>
          <w:spacing w:val="40"/>
        </w:rPr>
        <w:t> </w:t>
      </w:r>
      <w:r>
        <w:rPr/>
        <w:t>in</w:t>
      </w:r>
      <w:r>
        <w:rPr>
          <w:spacing w:val="-4"/>
        </w:rPr>
        <w:t> </w:t>
      </w:r>
      <w:r>
        <w:rPr/>
        <w:t>future</w:t>
      </w:r>
      <w:r>
        <w:rPr>
          <w:spacing w:val="-4"/>
        </w:rPr>
        <w:t> </w:t>
      </w:r>
      <w:r>
        <w:rPr/>
        <w:t>generations.</w:t>
      </w:r>
      <w:r>
        <w:rPr>
          <w:spacing w:val="-4"/>
        </w:rPr>
        <w:t> </w:t>
      </w:r>
      <w:r>
        <w:rPr/>
        <w:t>It</w:t>
      </w:r>
      <w:r>
        <w:rPr>
          <w:spacing w:val="-1"/>
        </w:rPr>
        <w:t> </w:t>
      </w:r>
      <w:r>
        <w:rPr/>
        <w:t>is</w:t>
      </w:r>
      <w:r>
        <w:rPr>
          <w:spacing w:val="-4"/>
        </w:rPr>
        <w:t> </w:t>
      </w:r>
      <w:r>
        <w:rPr/>
        <w:t>important</w:t>
      </w:r>
      <w:r>
        <w:rPr>
          <w:spacing w:val="-3"/>
        </w:rPr>
        <w:t> </w:t>
      </w:r>
      <w:r>
        <w:rPr/>
        <w:t>for</w:t>
      </w:r>
      <w:r>
        <w:rPr>
          <w:spacing w:val="-1"/>
        </w:rPr>
        <w:t> </w:t>
      </w:r>
      <w:r>
        <w:rPr/>
        <w:t>all</w:t>
      </w:r>
      <w:r>
        <w:rPr>
          <w:spacing w:val="-3"/>
        </w:rPr>
        <w:t> </w:t>
      </w:r>
      <w:r>
        <w:rPr/>
        <w:t>states to assess the knowledge, attitude, and behavior of their African American population because,</w:t>
      </w:r>
      <w:r>
        <w:rPr>
          <w:spacing w:val="40"/>
        </w:rPr>
        <w:t> </w:t>
      </w:r>
      <w:r>
        <w:rPr/>
        <w:t>as shown by our study, differences exist at the state level. For example, in our study, California African American students seemed more concerned about the severity, but not much</w:t>
      </w:r>
      <w:r>
        <w:rPr>
          <w:spacing w:val="40"/>
        </w:rPr>
        <w:t> </w:t>
      </w:r>
      <w:r>
        <w:rPr/>
        <w:t>about the occurrence, and practiced more protective behavior than Maryland students who worried more about the occurrence of skin cancer, but did not practice as much positive behavior as California students.</w:t>
      </w:r>
    </w:p>
    <w:p>
      <w:pPr>
        <w:pStyle w:val="BodyText"/>
        <w:spacing w:before="5"/>
      </w:pPr>
    </w:p>
    <w:p>
      <w:pPr>
        <w:pStyle w:val="Heading2"/>
        <w:spacing w:line="250" w:lineRule="exact"/>
        <w:ind w:left="239"/>
      </w:pPr>
      <w:r>
        <w:rPr>
          <w:spacing w:val="-2"/>
        </w:rPr>
        <w:t>Limitations</w:t>
      </w:r>
    </w:p>
    <w:p>
      <w:pPr>
        <w:pStyle w:val="BodyText"/>
        <w:ind w:left="239" w:right="554"/>
        <w:jc w:val="both"/>
      </w:pPr>
      <w:r>
        <w:rPr/>
        <w:t>The limitations of the current study arise from the self-reported cross-sectional data without measuring changes over time. Also, this study was a convenience sample, so the results may</w:t>
      </w:r>
      <w:r>
        <w:rPr>
          <w:spacing w:val="40"/>
        </w:rPr>
        <w:t> </w:t>
      </w:r>
      <w:r>
        <w:rPr/>
        <w:t>not be representative of all African American students</w:t>
      </w:r>
      <w:r>
        <w:rPr>
          <w:spacing w:val="-2"/>
        </w:rPr>
        <w:t> </w:t>
      </w:r>
      <w:r>
        <w:rPr/>
        <w:t>in</w:t>
      </w:r>
      <w:r>
        <w:rPr>
          <w:spacing w:val="-3"/>
        </w:rPr>
        <w:t> </w:t>
      </w:r>
      <w:r>
        <w:rPr/>
        <w:t>Maryland</w:t>
      </w:r>
      <w:r>
        <w:rPr>
          <w:spacing w:val="-3"/>
        </w:rPr>
        <w:t> </w:t>
      </w:r>
      <w:r>
        <w:rPr/>
        <w:t>and</w:t>
      </w:r>
      <w:r>
        <w:rPr>
          <w:spacing w:val="-3"/>
        </w:rPr>
        <w:t> </w:t>
      </w:r>
      <w:r>
        <w:rPr/>
        <w:t>California.</w:t>
      </w:r>
      <w:r>
        <w:rPr>
          <w:spacing w:val="-3"/>
        </w:rPr>
        <w:t> </w:t>
      </w:r>
      <w:r>
        <w:rPr/>
        <w:t>In</w:t>
      </w:r>
      <w:r>
        <w:rPr>
          <w:spacing w:val="-3"/>
        </w:rPr>
        <w:t> </w:t>
      </w:r>
      <w:r>
        <w:rPr/>
        <w:t>addition, students</w:t>
      </w:r>
      <w:r>
        <w:rPr>
          <w:spacing w:val="24"/>
        </w:rPr>
        <w:t> </w:t>
      </w:r>
      <w:r>
        <w:rPr/>
        <w:t>who</w:t>
      </w:r>
      <w:r>
        <w:rPr>
          <w:spacing w:val="24"/>
        </w:rPr>
        <w:t> </w:t>
      </w:r>
      <w:r>
        <w:rPr/>
        <w:t>participated</w:t>
      </w:r>
      <w:r>
        <w:rPr>
          <w:spacing w:val="22"/>
        </w:rPr>
        <w:t> </w:t>
      </w:r>
      <w:r>
        <w:rPr/>
        <w:t>in</w:t>
      </w:r>
      <w:r>
        <w:rPr>
          <w:spacing w:val="23"/>
        </w:rPr>
        <w:t> </w:t>
      </w:r>
      <w:r>
        <w:rPr/>
        <w:t>the</w:t>
      </w:r>
      <w:r>
        <w:rPr>
          <w:spacing w:val="22"/>
        </w:rPr>
        <w:t> </w:t>
      </w:r>
      <w:r>
        <w:rPr/>
        <w:t>survey</w:t>
      </w:r>
      <w:r>
        <w:rPr>
          <w:spacing w:val="22"/>
        </w:rPr>
        <w:t> </w:t>
      </w:r>
      <w:r>
        <w:rPr/>
        <w:t>may</w:t>
      </w:r>
      <w:r>
        <w:rPr>
          <w:spacing w:val="22"/>
        </w:rPr>
        <w:t> </w:t>
      </w:r>
      <w:r>
        <w:rPr>
          <w:spacing w:val="-5"/>
        </w:rPr>
        <w:t>be</w:t>
      </w:r>
    </w:p>
    <w:p>
      <w:pPr>
        <w:spacing w:after="0"/>
        <w:jc w:val="both"/>
        <w:sectPr>
          <w:pgSz w:w="12240" w:h="15840"/>
          <w:pgMar w:header="699" w:footer="1070" w:top="1340" w:bottom="1260" w:left="1200" w:right="880"/>
          <w:cols w:num="2" w:equalWidth="0">
            <w:col w:w="4656" w:space="384"/>
            <w:col w:w="5120"/>
          </w:cols>
        </w:sectPr>
      </w:pPr>
    </w:p>
    <w:p>
      <w:pPr>
        <w:pStyle w:val="BodyText"/>
        <w:spacing w:before="84"/>
        <w:ind w:left="240" w:right="38"/>
        <w:jc w:val="both"/>
      </w:pPr>
      <w:r>
        <w:rPr/>
        <w:t>more interested in public health issues than students who did not participate. Nevertheless, this study was significant because it highlighted important differences regarding skin cancer knowledge, attitudes, and behaviors among African American students between two states that receive different levels of UV radiations. More</w:t>
      </w:r>
      <w:r>
        <w:rPr>
          <w:spacing w:val="33"/>
        </w:rPr>
        <w:t> </w:t>
      </w:r>
      <w:r>
        <w:rPr/>
        <w:t>studies</w:t>
      </w:r>
      <w:r>
        <w:rPr>
          <w:spacing w:val="35"/>
        </w:rPr>
        <w:t> </w:t>
      </w:r>
      <w:r>
        <w:rPr/>
        <w:t>need</w:t>
      </w:r>
      <w:r>
        <w:rPr>
          <w:spacing w:val="32"/>
        </w:rPr>
        <w:t> </w:t>
      </w:r>
      <w:r>
        <w:rPr/>
        <w:t>to</w:t>
      </w:r>
      <w:r>
        <w:rPr>
          <w:spacing w:val="35"/>
        </w:rPr>
        <w:t> </w:t>
      </w:r>
      <w:r>
        <w:rPr/>
        <w:t>be</w:t>
      </w:r>
      <w:r>
        <w:rPr>
          <w:spacing w:val="35"/>
        </w:rPr>
        <w:t> </w:t>
      </w:r>
      <w:r>
        <w:rPr/>
        <w:t>conducted</w:t>
      </w:r>
      <w:r>
        <w:rPr>
          <w:spacing w:val="35"/>
        </w:rPr>
        <w:t> </w:t>
      </w:r>
      <w:r>
        <w:rPr/>
        <w:t>on</w:t>
      </w:r>
      <w:r>
        <w:rPr>
          <w:spacing w:val="36"/>
        </w:rPr>
        <w:t> </w:t>
      </w:r>
      <w:r>
        <w:rPr>
          <w:spacing w:val="-2"/>
        </w:rPr>
        <w:t>African</w:t>
      </w:r>
    </w:p>
    <w:p>
      <w:pPr>
        <w:pStyle w:val="BodyText"/>
        <w:spacing w:before="83"/>
        <w:ind w:left="240" w:right="554"/>
        <w:jc w:val="both"/>
      </w:pPr>
      <w:r>
        <w:rPr/>
        <w:br w:type="column"/>
      </w:r>
      <w:r>
        <w:rPr/>
        <w:t>Americans across the United States with larger sample size, and not just on college students. Questions concerning access to health care, access to sunscreen products, education, economic status, and employment should be administered in future studies to understand</w:t>
      </w:r>
      <w:r>
        <w:rPr>
          <w:spacing w:val="40"/>
        </w:rPr>
        <w:t> </w:t>
      </w:r>
      <w:r>
        <w:rPr/>
        <w:t>other important factors that may influence engagement</w:t>
      </w:r>
      <w:r>
        <w:rPr>
          <w:spacing w:val="-3"/>
        </w:rPr>
        <w:t> </w:t>
      </w:r>
      <w:r>
        <w:rPr/>
        <w:t>in</w:t>
      </w:r>
      <w:r>
        <w:rPr>
          <w:spacing w:val="-3"/>
        </w:rPr>
        <w:t> </w:t>
      </w:r>
      <w:r>
        <w:rPr/>
        <w:t>skin</w:t>
      </w:r>
      <w:r>
        <w:rPr>
          <w:spacing w:val="-6"/>
        </w:rPr>
        <w:t> </w:t>
      </w:r>
      <w:r>
        <w:rPr/>
        <w:t>cancer</w:t>
      </w:r>
      <w:r>
        <w:rPr>
          <w:spacing w:val="-4"/>
        </w:rPr>
        <w:t> </w:t>
      </w:r>
      <w:r>
        <w:rPr/>
        <w:t>prevention</w:t>
      </w:r>
      <w:r>
        <w:rPr>
          <w:spacing w:val="-3"/>
        </w:rPr>
        <w:t> </w:t>
      </w:r>
      <w:r>
        <w:rPr>
          <w:spacing w:val="-2"/>
        </w:rPr>
        <w:t>behaviors.</w:t>
      </w:r>
    </w:p>
    <w:p>
      <w:pPr>
        <w:spacing w:after="0"/>
        <w:jc w:val="both"/>
        <w:sectPr>
          <w:pgSz w:w="12240" w:h="15840"/>
          <w:pgMar w:header="699" w:footer="1070" w:top="1340" w:bottom="1260" w:left="1200" w:right="880"/>
          <w:cols w:num="2" w:equalWidth="0">
            <w:col w:w="4604" w:space="436"/>
            <w:col w:w="5120"/>
          </w:cols>
        </w:sectPr>
      </w:pPr>
    </w:p>
    <w:p>
      <w:pPr>
        <w:pStyle w:val="BodyText"/>
        <w:spacing w:before="4"/>
      </w:pPr>
    </w:p>
    <w:p>
      <w:pPr>
        <w:pStyle w:val="Heading2"/>
        <w:spacing w:before="1"/>
        <w:ind w:left="239"/>
      </w:pPr>
      <w:r>
        <w:rPr>
          <w:spacing w:val="-2"/>
        </w:rPr>
        <w:t>REFERENCES</w:t>
      </w:r>
    </w:p>
    <w:p>
      <w:pPr>
        <w:pStyle w:val="BodyText"/>
        <w:spacing w:before="246"/>
        <w:ind w:left="959" w:right="654" w:hanging="721"/>
      </w:pPr>
      <w:r>
        <w:rPr/>
        <w:t>Beech,</w:t>
      </w:r>
      <w:r>
        <w:rPr>
          <w:spacing w:val="-3"/>
        </w:rPr>
        <w:t> </w:t>
      </w:r>
      <w:r>
        <w:rPr/>
        <w:t>D.</w:t>
      </w:r>
      <w:r>
        <w:rPr>
          <w:spacing w:val="-5"/>
        </w:rPr>
        <w:t> </w:t>
      </w:r>
      <w:r>
        <w:rPr/>
        <w:t>J.,</w:t>
      </w:r>
      <w:r>
        <w:rPr>
          <w:spacing w:val="-2"/>
        </w:rPr>
        <w:t> </w:t>
      </w:r>
      <w:r>
        <w:rPr/>
        <w:t>Harb,</w:t>
      </w:r>
      <w:r>
        <w:rPr>
          <w:spacing w:val="-10"/>
        </w:rPr>
        <w:t> </w:t>
      </w:r>
      <w:r>
        <w:rPr/>
        <w:t>W.,</w:t>
      </w:r>
      <w:r>
        <w:rPr>
          <w:spacing w:val="-2"/>
        </w:rPr>
        <w:t> </w:t>
      </w:r>
      <w:r>
        <w:rPr/>
        <w:t>&amp;</w:t>
      </w:r>
      <w:r>
        <w:rPr>
          <w:spacing w:val="-4"/>
        </w:rPr>
        <w:t> </w:t>
      </w:r>
      <w:r>
        <w:rPr/>
        <w:t>Reed,</w:t>
      </w:r>
      <w:r>
        <w:rPr>
          <w:spacing w:val="-5"/>
        </w:rPr>
        <w:t> </w:t>
      </w:r>
      <w:r>
        <w:rPr/>
        <w:t>J.</w:t>
      </w:r>
      <w:r>
        <w:rPr>
          <w:spacing w:val="-5"/>
        </w:rPr>
        <w:t> </w:t>
      </w:r>
      <w:r>
        <w:rPr/>
        <w:t>(2004).</w:t>
      </w:r>
      <w:r>
        <w:rPr>
          <w:spacing w:val="-2"/>
        </w:rPr>
        <w:t> </w:t>
      </w:r>
      <w:r>
        <w:rPr/>
        <w:t>Nodular</w:t>
      </w:r>
      <w:r>
        <w:rPr>
          <w:spacing w:val="-1"/>
        </w:rPr>
        <w:t> </w:t>
      </w:r>
      <w:r>
        <w:rPr/>
        <w:t>melanoma</w:t>
      </w:r>
      <w:r>
        <w:rPr>
          <w:spacing w:val="-2"/>
        </w:rPr>
        <w:t> </w:t>
      </w:r>
      <w:r>
        <w:rPr/>
        <w:t>of</w:t>
      </w:r>
      <w:r>
        <w:rPr>
          <w:spacing w:val="-1"/>
        </w:rPr>
        <w:t> </w:t>
      </w:r>
      <w:r>
        <w:rPr/>
        <w:t>the</w:t>
      </w:r>
      <w:r>
        <w:rPr>
          <w:spacing w:val="-4"/>
        </w:rPr>
        <w:t> </w:t>
      </w:r>
      <w:r>
        <w:rPr/>
        <w:t>face:</w:t>
      </w:r>
      <w:r>
        <w:rPr>
          <w:spacing w:val="-4"/>
        </w:rPr>
        <w:t> </w:t>
      </w:r>
      <w:r>
        <w:rPr/>
        <w:t>a</w:t>
      </w:r>
      <w:r>
        <w:rPr>
          <w:spacing w:val="-2"/>
        </w:rPr>
        <w:t> </w:t>
      </w:r>
      <w:r>
        <w:rPr/>
        <w:t>rare</w:t>
      </w:r>
      <w:r>
        <w:rPr>
          <w:spacing w:val="-4"/>
        </w:rPr>
        <w:t> </w:t>
      </w:r>
      <w:r>
        <w:rPr/>
        <w:t>finding</w:t>
      </w:r>
      <w:r>
        <w:rPr>
          <w:spacing w:val="-5"/>
        </w:rPr>
        <w:t> </w:t>
      </w:r>
      <w:r>
        <w:rPr/>
        <w:t>in</w:t>
      </w:r>
      <w:r>
        <w:rPr>
          <w:spacing w:val="-14"/>
        </w:rPr>
        <w:t> </w:t>
      </w:r>
      <w:r>
        <w:rPr/>
        <w:t>African Americans. </w:t>
      </w:r>
      <w:r>
        <w:rPr>
          <w:i/>
        </w:rPr>
        <w:t>American Surgeon</w:t>
      </w:r>
      <w:r>
        <w:rPr/>
        <w:t>, </w:t>
      </w:r>
      <w:r>
        <w:rPr>
          <w:i/>
        </w:rPr>
        <w:t>70</w:t>
      </w:r>
      <w:r>
        <w:rPr/>
        <w:t>(4), 294-297.</w:t>
      </w:r>
    </w:p>
    <w:p>
      <w:pPr>
        <w:pStyle w:val="BodyText"/>
        <w:ind w:left="959" w:hanging="720"/>
      </w:pPr>
      <w:r>
        <w:rPr/>
        <w:t>California</w:t>
      </w:r>
      <w:r>
        <w:rPr>
          <w:spacing w:val="-5"/>
        </w:rPr>
        <w:t> </w:t>
      </w:r>
      <w:r>
        <w:rPr/>
        <w:t>Cancer</w:t>
      </w:r>
      <w:r>
        <w:rPr>
          <w:spacing w:val="-4"/>
        </w:rPr>
        <w:t> </w:t>
      </w:r>
      <w:r>
        <w:rPr/>
        <w:t>Registry.</w:t>
      </w:r>
      <w:r>
        <w:rPr>
          <w:spacing w:val="-5"/>
        </w:rPr>
        <w:t> </w:t>
      </w:r>
      <w:r>
        <w:rPr/>
        <w:t>(2012).</w:t>
      </w:r>
      <w:r>
        <w:rPr>
          <w:spacing w:val="-5"/>
        </w:rPr>
        <w:t> </w:t>
      </w:r>
      <w:r>
        <w:rPr/>
        <w:t>Cancer</w:t>
      </w:r>
      <w:r>
        <w:rPr>
          <w:spacing w:val="-7"/>
        </w:rPr>
        <w:t> </w:t>
      </w:r>
      <w:r>
        <w:rPr/>
        <w:t>facts</w:t>
      </w:r>
      <w:r>
        <w:rPr>
          <w:spacing w:val="-7"/>
        </w:rPr>
        <w:t> </w:t>
      </w:r>
      <w:r>
        <w:rPr/>
        <w:t>and</w:t>
      </w:r>
      <w:r>
        <w:rPr>
          <w:spacing w:val="-8"/>
        </w:rPr>
        <w:t> </w:t>
      </w:r>
      <w:r>
        <w:rPr/>
        <w:t>figures.</w:t>
      </w:r>
      <w:r>
        <w:rPr>
          <w:spacing w:val="-5"/>
        </w:rPr>
        <w:t> </w:t>
      </w:r>
      <w:r>
        <w:rPr/>
        <w:t>Retrieved</w:t>
      </w:r>
      <w:r>
        <w:rPr>
          <w:spacing w:val="-5"/>
        </w:rPr>
        <w:t> </w:t>
      </w:r>
      <w:r>
        <w:rPr/>
        <w:t>from </w:t>
      </w:r>
      <w:hyperlink r:id="rId7">
        <w:r>
          <w:rPr>
            <w:spacing w:val="-2"/>
          </w:rPr>
          <w:t>http://www.ccrcal.org/pdf/Reports/ACS_2012.pdf.</w:t>
        </w:r>
      </w:hyperlink>
    </w:p>
    <w:p>
      <w:pPr>
        <w:pStyle w:val="BodyText"/>
        <w:spacing w:before="1"/>
        <w:ind w:left="959" w:right="2858" w:hanging="721"/>
      </w:pPr>
      <w:r>
        <w:rPr/>
        <w:t>Center</w:t>
      </w:r>
      <w:r>
        <w:rPr>
          <w:spacing w:val="-3"/>
        </w:rPr>
        <w:t> </w:t>
      </w:r>
      <w:r>
        <w:rPr/>
        <w:t>for</w:t>
      </w:r>
      <w:r>
        <w:rPr>
          <w:spacing w:val="-3"/>
        </w:rPr>
        <w:t> </w:t>
      </w:r>
      <w:r>
        <w:rPr/>
        <w:t>a</w:t>
      </w:r>
      <w:r>
        <w:rPr>
          <w:spacing w:val="-3"/>
        </w:rPr>
        <w:t> </w:t>
      </w:r>
      <w:r>
        <w:rPr/>
        <w:t>Healthy</w:t>
      </w:r>
      <w:r>
        <w:rPr>
          <w:spacing w:val="-6"/>
        </w:rPr>
        <w:t> </w:t>
      </w:r>
      <w:r>
        <w:rPr/>
        <w:t>Maryland.</w:t>
      </w:r>
      <w:r>
        <w:rPr>
          <w:spacing w:val="-3"/>
        </w:rPr>
        <w:t> </w:t>
      </w:r>
      <w:r>
        <w:rPr/>
        <w:t>(2013).</w:t>
      </w:r>
      <w:r>
        <w:rPr>
          <w:spacing w:val="-6"/>
        </w:rPr>
        <w:t> </w:t>
      </w:r>
      <w:r>
        <w:rPr/>
        <w:t>Skin</w:t>
      </w:r>
      <w:r>
        <w:rPr>
          <w:spacing w:val="-3"/>
        </w:rPr>
        <w:t> </w:t>
      </w:r>
      <w:r>
        <w:rPr/>
        <w:t>Cancer</w:t>
      </w:r>
      <w:r>
        <w:rPr>
          <w:spacing w:val="-3"/>
        </w:rPr>
        <w:t> </w:t>
      </w:r>
      <w:r>
        <w:rPr/>
        <w:t>Prevention.</w:t>
      </w:r>
      <w:r>
        <w:rPr>
          <w:spacing w:val="-3"/>
        </w:rPr>
        <w:t> </w:t>
      </w:r>
      <w:r>
        <w:rPr/>
        <w:t>Retrieved</w:t>
      </w:r>
      <w:r>
        <w:rPr>
          <w:spacing w:val="-3"/>
        </w:rPr>
        <w:t> </w:t>
      </w:r>
      <w:r>
        <w:rPr/>
        <w:t>from </w:t>
      </w:r>
      <w:hyperlink r:id="rId8">
        <w:r>
          <w:rPr>
            <w:spacing w:val="-2"/>
          </w:rPr>
          <w:t>http://healthymaryland.org/public-health/skin-cancer-prevention.</w:t>
        </w:r>
      </w:hyperlink>
    </w:p>
    <w:p>
      <w:pPr>
        <w:pStyle w:val="BodyText"/>
        <w:ind w:left="958" w:right="654" w:hanging="721"/>
      </w:pPr>
      <w:r>
        <w:rPr/>
        <w:t>Centers</w:t>
      </w:r>
      <w:r>
        <w:rPr>
          <w:spacing w:val="-5"/>
        </w:rPr>
        <w:t> </w:t>
      </w:r>
      <w:r>
        <w:rPr/>
        <w:t>for</w:t>
      </w:r>
      <w:r>
        <w:rPr>
          <w:spacing w:val="-2"/>
        </w:rPr>
        <w:t> </w:t>
      </w:r>
      <w:r>
        <w:rPr/>
        <w:t>Disease</w:t>
      </w:r>
      <w:r>
        <w:rPr>
          <w:spacing w:val="-3"/>
        </w:rPr>
        <w:t> </w:t>
      </w:r>
      <w:r>
        <w:rPr/>
        <w:t>Control</w:t>
      </w:r>
      <w:r>
        <w:rPr>
          <w:spacing w:val="-5"/>
        </w:rPr>
        <w:t> </w:t>
      </w:r>
      <w:r>
        <w:rPr/>
        <w:t>and</w:t>
      </w:r>
      <w:r>
        <w:rPr>
          <w:spacing w:val="-3"/>
        </w:rPr>
        <w:t> </w:t>
      </w:r>
      <w:r>
        <w:rPr/>
        <w:t>Prevention.</w:t>
      </w:r>
      <w:r>
        <w:rPr>
          <w:spacing w:val="-3"/>
        </w:rPr>
        <w:t> </w:t>
      </w:r>
      <w:r>
        <w:rPr/>
        <w:t>(2010a).</w:t>
      </w:r>
      <w:r>
        <w:rPr>
          <w:spacing w:val="-3"/>
        </w:rPr>
        <w:t> </w:t>
      </w:r>
      <w:r>
        <w:rPr/>
        <w:t>Skin</w:t>
      </w:r>
      <w:r>
        <w:rPr>
          <w:spacing w:val="-3"/>
        </w:rPr>
        <w:t> </w:t>
      </w:r>
      <w:r>
        <w:rPr/>
        <w:t>cancer:</w:t>
      </w:r>
      <w:r>
        <w:rPr>
          <w:spacing w:val="-2"/>
        </w:rPr>
        <w:t> </w:t>
      </w:r>
      <w:r>
        <w:rPr/>
        <w:t>Risk</w:t>
      </w:r>
      <w:r>
        <w:rPr>
          <w:spacing w:val="-6"/>
        </w:rPr>
        <w:t> </w:t>
      </w:r>
      <w:r>
        <w:rPr/>
        <w:t>factors.</w:t>
      </w:r>
      <w:r>
        <w:rPr>
          <w:spacing w:val="-3"/>
        </w:rPr>
        <w:t> </w:t>
      </w:r>
      <w:r>
        <w:rPr/>
        <w:t>Retrieved</w:t>
      </w:r>
      <w:r>
        <w:rPr>
          <w:spacing w:val="-3"/>
        </w:rPr>
        <w:t> </w:t>
      </w:r>
      <w:r>
        <w:rPr/>
        <w:t>from </w:t>
      </w:r>
      <w:hyperlink r:id="rId9">
        <w:r>
          <w:rPr>
            <w:spacing w:val="-2"/>
          </w:rPr>
          <w:t>http://www.cdc.gov/cancer/skin/basic_info/risk_factors.htm.</w:t>
        </w:r>
      </w:hyperlink>
    </w:p>
    <w:p>
      <w:pPr>
        <w:pStyle w:val="BodyText"/>
        <w:ind w:left="958" w:right="654" w:hanging="721"/>
      </w:pPr>
      <w:r>
        <w:rPr/>
        <w:t>Centers</w:t>
      </w:r>
      <w:r>
        <w:rPr>
          <w:spacing w:val="-5"/>
        </w:rPr>
        <w:t> </w:t>
      </w:r>
      <w:r>
        <w:rPr/>
        <w:t>for</w:t>
      </w:r>
      <w:r>
        <w:rPr>
          <w:spacing w:val="-2"/>
        </w:rPr>
        <w:t> </w:t>
      </w:r>
      <w:r>
        <w:rPr/>
        <w:t>Disease</w:t>
      </w:r>
      <w:r>
        <w:rPr>
          <w:spacing w:val="-3"/>
        </w:rPr>
        <w:t> </w:t>
      </w:r>
      <w:r>
        <w:rPr/>
        <w:t>Control</w:t>
      </w:r>
      <w:r>
        <w:rPr>
          <w:spacing w:val="-5"/>
        </w:rPr>
        <w:t> </w:t>
      </w:r>
      <w:r>
        <w:rPr/>
        <w:t>and</w:t>
      </w:r>
      <w:r>
        <w:rPr>
          <w:spacing w:val="-3"/>
        </w:rPr>
        <w:t> </w:t>
      </w:r>
      <w:r>
        <w:rPr/>
        <w:t>Prevention.</w:t>
      </w:r>
      <w:r>
        <w:rPr>
          <w:spacing w:val="-3"/>
        </w:rPr>
        <w:t> </w:t>
      </w:r>
      <w:r>
        <w:rPr/>
        <w:t>(2010b).</w:t>
      </w:r>
      <w:r>
        <w:rPr>
          <w:spacing w:val="-3"/>
        </w:rPr>
        <w:t> </w:t>
      </w:r>
      <w:r>
        <w:rPr/>
        <w:t>United</w:t>
      </w:r>
      <w:r>
        <w:rPr>
          <w:spacing w:val="-3"/>
        </w:rPr>
        <w:t> </w:t>
      </w:r>
      <w:r>
        <w:rPr/>
        <w:t>States</w:t>
      </w:r>
      <w:r>
        <w:rPr>
          <w:spacing w:val="-3"/>
        </w:rPr>
        <w:t> </w:t>
      </w:r>
      <w:r>
        <w:rPr/>
        <w:t>cancer</w:t>
      </w:r>
      <w:r>
        <w:rPr>
          <w:spacing w:val="-2"/>
        </w:rPr>
        <w:t> </w:t>
      </w:r>
      <w:r>
        <w:rPr/>
        <w:t>statistics.</w:t>
      </w:r>
      <w:r>
        <w:rPr>
          <w:spacing w:val="-3"/>
        </w:rPr>
        <w:t> </w:t>
      </w:r>
      <w:r>
        <w:rPr/>
        <w:t>Retrieved</w:t>
      </w:r>
      <w:r>
        <w:rPr>
          <w:spacing w:val="-6"/>
        </w:rPr>
        <w:t> </w:t>
      </w:r>
      <w:r>
        <w:rPr/>
        <w:t>from </w:t>
      </w:r>
      <w:hyperlink r:id="rId10">
        <w:r>
          <w:rPr>
            <w:spacing w:val="-2"/>
          </w:rPr>
          <w:t>http://apps.nccd.cdc.gov/uscs/statevsnational.aspx.</w:t>
        </w:r>
      </w:hyperlink>
    </w:p>
    <w:p>
      <w:pPr>
        <w:pStyle w:val="BodyText"/>
        <w:spacing w:before="1"/>
        <w:ind w:left="958" w:right="654" w:hanging="721"/>
      </w:pPr>
      <w:r>
        <w:rPr/>
        <w:t>Centers for Disease Control and Prevention. (2010c). Skin cancer rates by states. Retrieved from </w:t>
      </w:r>
      <w:hyperlink r:id="rId11">
        <w:r>
          <w:rPr/>
          <w:t>http://www.cdc.gov/cancer/skin/statistics/state.htm.Centers</w:t>
        </w:r>
      </w:hyperlink>
      <w:r>
        <w:rPr>
          <w:spacing w:val="-10"/>
        </w:rPr>
        <w:t> </w:t>
      </w:r>
      <w:r>
        <w:rPr/>
        <w:t>for</w:t>
      </w:r>
      <w:r>
        <w:rPr>
          <w:spacing w:val="-9"/>
        </w:rPr>
        <w:t> </w:t>
      </w:r>
      <w:r>
        <w:rPr/>
        <w:t>Disease</w:t>
      </w:r>
      <w:r>
        <w:rPr>
          <w:spacing w:val="-10"/>
        </w:rPr>
        <w:t> </w:t>
      </w:r>
      <w:r>
        <w:rPr/>
        <w:t>Control</w:t>
      </w:r>
      <w:r>
        <w:rPr>
          <w:spacing w:val="-9"/>
        </w:rPr>
        <w:t> </w:t>
      </w:r>
      <w:r>
        <w:rPr/>
        <w:t>and</w:t>
      </w:r>
      <w:r>
        <w:rPr>
          <w:spacing w:val="-10"/>
        </w:rPr>
        <w:t> </w:t>
      </w:r>
      <w:r>
        <w:rPr/>
        <w:t>Prevention. (2010d). U.S. cancer statistics: An interactive atlas. Retrieved from </w:t>
      </w:r>
      <w:hyperlink r:id="rId12">
        <w:r>
          <w:rPr>
            <w:spacing w:val="-2"/>
          </w:rPr>
          <w:t>http://apps.nccd.cdc.gov/DCPC_INCA/DCPC_INCA.aspx.</w:t>
        </w:r>
      </w:hyperlink>
    </w:p>
    <w:p>
      <w:pPr>
        <w:pStyle w:val="BodyText"/>
        <w:ind w:left="958" w:right="654" w:hanging="721"/>
      </w:pPr>
      <w:r>
        <w:rPr/>
        <w:t>Cheng, C. E., Irwin, B., Mauriello, D., Hemminger, L., Pappert,</w:t>
      </w:r>
      <w:r>
        <w:rPr>
          <w:spacing w:val="-10"/>
        </w:rPr>
        <w:t> </w:t>
      </w:r>
      <w:r>
        <w:rPr/>
        <w:t>A., &amp;</w:t>
      </w:r>
      <w:r>
        <w:rPr>
          <w:spacing w:val="-2"/>
        </w:rPr>
        <w:t> </w:t>
      </w:r>
      <w:r>
        <w:rPr/>
        <w:t>Kimball,</w:t>
      </w:r>
      <w:r>
        <w:rPr>
          <w:spacing w:val="-10"/>
        </w:rPr>
        <w:t> </w:t>
      </w:r>
      <w:r>
        <w:rPr/>
        <w:t>A. B. (2010). Health disparities</w:t>
      </w:r>
      <w:r>
        <w:rPr>
          <w:spacing w:val="-5"/>
        </w:rPr>
        <w:t> </w:t>
      </w:r>
      <w:r>
        <w:rPr/>
        <w:t>among</w:t>
      </w:r>
      <w:r>
        <w:rPr>
          <w:spacing w:val="-6"/>
        </w:rPr>
        <w:t> </w:t>
      </w:r>
      <w:r>
        <w:rPr/>
        <w:t>different</w:t>
      </w:r>
      <w:r>
        <w:rPr>
          <w:spacing w:val="-5"/>
        </w:rPr>
        <w:t> </w:t>
      </w:r>
      <w:r>
        <w:rPr/>
        <w:t>ethnic</w:t>
      </w:r>
      <w:r>
        <w:rPr>
          <w:spacing w:val="-3"/>
        </w:rPr>
        <w:t> </w:t>
      </w:r>
      <w:r>
        <w:rPr/>
        <w:t>and</w:t>
      </w:r>
      <w:r>
        <w:rPr>
          <w:spacing w:val="-3"/>
        </w:rPr>
        <w:t> </w:t>
      </w:r>
      <w:r>
        <w:rPr/>
        <w:t>racial</w:t>
      </w:r>
      <w:r>
        <w:rPr>
          <w:spacing w:val="-2"/>
        </w:rPr>
        <w:t> </w:t>
      </w:r>
      <w:r>
        <w:rPr/>
        <w:t>middle</w:t>
      </w:r>
      <w:r>
        <w:rPr>
          <w:spacing w:val="-3"/>
        </w:rPr>
        <w:t> </w:t>
      </w:r>
      <w:r>
        <w:rPr/>
        <w:t>and</w:t>
      </w:r>
      <w:r>
        <w:rPr>
          <w:spacing w:val="-3"/>
        </w:rPr>
        <w:t> </w:t>
      </w:r>
      <w:r>
        <w:rPr/>
        <w:t>high</w:t>
      </w:r>
      <w:r>
        <w:rPr>
          <w:spacing w:val="-3"/>
        </w:rPr>
        <w:t> </w:t>
      </w:r>
      <w:r>
        <w:rPr/>
        <w:t>school</w:t>
      </w:r>
      <w:r>
        <w:rPr>
          <w:spacing w:val="-2"/>
        </w:rPr>
        <w:t> </w:t>
      </w:r>
      <w:r>
        <w:rPr/>
        <w:t>students</w:t>
      </w:r>
      <w:r>
        <w:rPr>
          <w:spacing w:val="-3"/>
        </w:rPr>
        <w:t> </w:t>
      </w:r>
      <w:r>
        <w:rPr/>
        <w:t>in</w:t>
      </w:r>
      <w:r>
        <w:rPr>
          <w:spacing w:val="-6"/>
        </w:rPr>
        <w:t> </w:t>
      </w:r>
      <w:r>
        <w:rPr/>
        <w:t>sun</w:t>
      </w:r>
      <w:r>
        <w:rPr>
          <w:spacing w:val="-3"/>
        </w:rPr>
        <w:t> </w:t>
      </w:r>
      <w:r>
        <w:rPr/>
        <w:t>exposure beliefs and knowledge. </w:t>
      </w:r>
      <w:r>
        <w:rPr>
          <w:i/>
        </w:rPr>
        <w:t>Journal of Adolescent Health</w:t>
      </w:r>
      <w:r>
        <w:rPr/>
        <w:t>, </w:t>
      </w:r>
      <w:r>
        <w:rPr>
          <w:i/>
        </w:rPr>
        <w:t>47</w:t>
      </w:r>
      <w:r>
        <w:rPr/>
        <w:t>(1), 106-109.</w:t>
      </w:r>
    </w:p>
    <w:p>
      <w:pPr>
        <w:pStyle w:val="BodyText"/>
        <w:ind w:left="958" w:right="654" w:hanging="721"/>
      </w:pPr>
      <w:r>
        <w:rPr/>
        <w:t>Cicarma,</w:t>
      </w:r>
      <w:r>
        <w:rPr>
          <w:spacing w:val="-3"/>
        </w:rPr>
        <w:t> </w:t>
      </w:r>
      <w:r>
        <w:rPr/>
        <w:t>E.,</w:t>
      </w:r>
      <w:r>
        <w:rPr>
          <w:spacing w:val="-2"/>
        </w:rPr>
        <w:t> </w:t>
      </w:r>
      <w:r>
        <w:rPr/>
        <w:t>Porojnicu,</w:t>
      </w:r>
      <w:r>
        <w:rPr>
          <w:spacing w:val="-15"/>
        </w:rPr>
        <w:t> </w:t>
      </w:r>
      <w:r>
        <w:rPr/>
        <w:t>A.</w:t>
      </w:r>
      <w:r>
        <w:rPr>
          <w:spacing w:val="-5"/>
        </w:rPr>
        <w:t> </w:t>
      </w:r>
      <w:r>
        <w:rPr/>
        <w:t>C.,</w:t>
      </w:r>
      <w:r>
        <w:rPr>
          <w:spacing w:val="-2"/>
        </w:rPr>
        <w:t> </w:t>
      </w:r>
      <w:r>
        <w:rPr/>
        <w:t>Lagunova,</w:t>
      </w:r>
      <w:r>
        <w:rPr>
          <w:spacing w:val="-2"/>
        </w:rPr>
        <w:t> </w:t>
      </w:r>
      <w:r>
        <w:rPr/>
        <w:t>Z.,</w:t>
      </w:r>
      <w:r>
        <w:rPr>
          <w:spacing w:val="-2"/>
        </w:rPr>
        <w:t> </w:t>
      </w:r>
      <w:r>
        <w:rPr/>
        <w:t>Dahlback,</w:t>
      </w:r>
      <w:r>
        <w:rPr>
          <w:spacing w:val="-14"/>
        </w:rPr>
        <w:t> </w:t>
      </w:r>
      <w:r>
        <w:rPr/>
        <w:t>A.,</w:t>
      </w:r>
      <w:r>
        <w:rPr>
          <w:spacing w:val="-5"/>
        </w:rPr>
        <w:t> </w:t>
      </w:r>
      <w:r>
        <w:rPr/>
        <w:t>Juzeniene,</w:t>
      </w:r>
      <w:r>
        <w:rPr>
          <w:spacing w:val="-14"/>
        </w:rPr>
        <w:t> </w:t>
      </w:r>
      <w:r>
        <w:rPr/>
        <w:t>A.,</w:t>
      </w:r>
      <w:r>
        <w:rPr>
          <w:spacing w:val="-2"/>
        </w:rPr>
        <w:t> </w:t>
      </w:r>
      <w:r>
        <w:rPr/>
        <w:t>&amp;</w:t>
      </w:r>
      <w:r>
        <w:rPr>
          <w:spacing w:val="-4"/>
        </w:rPr>
        <w:t> </w:t>
      </w:r>
      <w:r>
        <w:rPr/>
        <w:t>Moan,</w:t>
      </w:r>
      <w:r>
        <w:rPr>
          <w:spacing w:val="-2"/>
        </w:rPr>
        <w:t> </w:t>
      </w:r>
      <w:r>
        <w:rPr/>
        <w:t>J.</w:t>
      </w:r>
      <w:r>
        <w:rPr>
          <w:spacing w:val="-2"/>
        </w:rPr>
        <w:t> </w:t>
      </w:r>
      <w:r>
        <w:rPr/>
        <w:t>(2009).</w:t>
      </w:r>
      <w:r>
        <w:rPr>
          <w:spacing w:val="-2"/>
        </w:rPr>
        <w:t> </w:t>
      </w:r>
      <w:r>
        <w:rPr/>
        <w:t>Sun</w:t>
      </w:r>
      <w:r>
        <w:rPr>
          <w:spacing w:val="-2"/>
        </w:rPr>
        <w:t> </w:t>
      </w:r>
      <w:r>
        <w:rPr/>
        <w:t>and Sun Beds: Inducers of Vitamin D and Skin Cancer. </w:t>
      </w:r>
      <w:r>
        <w:rPr>
          <w:i/>
        </w:rPr>
        <w:t>Anticancer Research</w:t>
      </w:r>
      <w:r>
        <w:rPr/>
        <w:t>, </w:t>
      </w:r>
      <w:r>
        <w:rPr>
          <w:i/>
        </w:rPr>
        <w:t>29</w:t>
      </w:r>
      <w:r>
        <w:rPr/>
        <w:t>(9), 3495-3500.</w:t>
      </w:r>
    </w:p>
    <w:p>
      <w:pPr>
        <w:pStyle w:val="BodyText"/>
        <w:ind w:left="958" w:right="600" w:hanging="720"/>
      </w:pPr>
      <w:r>
        <w:rPr/>
        <w:t>Cokkinides,</w:t>
      </w:r>
      <w:r>
        <w:rPr>
          <w:spacing w:val="-13"/>
        </w:rPr>
        <w:t> </w:t>
      </w:r>
      <w:r>
        <w:rPr/>
        <w:t>V.</w:t>
      </w:r>
      <w:r>
        <w:rPr>
          <w:spacing w:val="-6"/>
        </w:rPr>
        <w:t> </w:t>
      </w:r>
      <w:r>
        <w:rPr/>
        <w:t>E.,</w:t>
      </w:r>
      <w:r>
        <w:rPr>
          <w:spacing w:val="-8"/>
        </w:rPr>
        <w:t> </w:t>
      </w:r>
      <w:r>
        <w:rPr/>
        <w:t>Johnston-Davis,</w:t>
      </w:r>
      <w:r>
        <w:rPr>
          <w:spacing w:val="-6"/>
        </w:rPr>
        <w:t> </w:t>
      </w:r>
      <w:r>
        <w:rPr/>
        <w:t>K.,</w:t>
      </w:r>
      <w:r>
        <w:rPr>
          <w:spacing w:val="-10"/>
        </w:rPr>
        <w:t> </w:t>
      </w:r>
      <w:r>
        <w:rPr/>
        <w:t>Weinstock,</w:t>
      </w:r>
      <w:r>
        <w:rPr>
          <w:spacing w:val="-6"/>
        </w:rPr>
        <w:t> </w:t>
      </w:r>
      <w:r>
        <w:rPr/>
        <w:t>M.,</w:t>
      </w:r>
      <w:r>
        <w:rPr>
          <w:spacing w:val="-8"/>
        </w:rPr>
        <w:t> </w:t>
      </w:r>
      <w:r>
        <w:rPr/>
        <w:t>O'Connell,</w:t>
      </w:r>
      <w:r>
        <w:rPr>
          <w:spacing w:val="-8"/>
        </w:rPr>
        <w:t> </w:t>
      </w:r>
      <w:r>
        <w:rPr/>
        <w:t>M.</w:t>
      </w:r>
      <w:r>
        <w:rPr>
          <w:spacing w:val="-6"/>
        </w:rPr>
        <w:t> </w:t>
      </w:r>
      <w:r>
        <w:rPr/>
        <w:t>C.,</w:t>
      </w:r>
      <w:r>
        <w:rPr>
          <w:spacing w:val="-8"/>
        </w:rPr>
        <w:t> </w:t>
      </w:r>
      <w:r>
        <w:rPr/>
        <w:t>Kalsbeek,</w:t>
      </w:r>
      <w:r>
        <w:rPr>
          <w:spacing w:val="-10"/>
        </w:rPr>
        <w:t> </w:t>
      </w:r>
      <w:r>
        <w:rPr/>
        <w:t>W.,</w:t>
      </w:r>
      <w:r>
        <w:rPr>
          <w:spacing w:val="-6"/>
        </w:rPr>
        <w:t> </w:t>
      </w:r>
      <w:r>
        <w:rPr/>
        <w:t>&amp;</w:t>
      </w:r>
      <w:r>
        <w:rPr>
          <w:spacing w:val="-11"/>
        </w:rPr>
        <w:t> </w:t>
      </w:r>
      <w:r>
        <w:rPr/>
        <w:t>Thun,</w:t>
      </w:r>
      <w:r>
        <w:rPr>
          <w:spacing w:val="-8"/>
        </w:rPr>
        <w:t> </w:t>
      </w:r>
      <w:r>
        <w:rPr/>
        <w:t>M.</w:t>
      </w:r>
      <w:r>
        <w:rPr>
          <w:spacing w:val="-8"/>
        </w:rPr>
        <w:t> </w:t>
      </w:r>
      <w:r>
        <w:rPr/>
        <w:t>J. (2001). Sun exposure and sun-protection behaviors and attitudes among U.S. youth, 11 to 18 years of age. </w:t>
      </w:r>
      <w:r>
        <w:rPr>
          <w:i/>
        </w:rPr>
        <w:t>Preventive Medicine</w:t>
      </w:r>
      <w:r>
        <w:rPr/>
        <w:t>, </w:t>
      </w:r>
      <w:r>
        <w:rPr>
          <w:i/>
        </w:rPr>
        <w:t>33</w:t>
      </w:r>
      <w:r>
        <w:rPr/>
        <w:t>(3), 141-151.</w:t>
      </w:r>
    </w:p>
    <w:p>
      <w:pPr>
        <w:spacing w:before="0"/>
        <w:ind w:left="958" w:right="654" w:hanging="721"/>
        <w:jc w:val="left"/>
        <w:rPr>
          <w:sz w:val="22"/>
        </w:rPr>
      </w:pPr>
      <w:r>
        <w:rPr>
          <w:sz w:val="22"/>
        </w:rPr>
        <w:t>Coups,</w:t>
      </w:r>
      <w:r>
        <w:rPr>
          <w:spacing w:val="-1"/>
          <w:sz w:val="22"/>
        </w:rPr>
        <w:t> </w:t>
      </w:r>
      <w:r>
        <w:rPr>
          <w:sz w:val="22"/>
        </w:rPr>
        <w:t>E.</w:t>
      </w:r>
      <w:r>
        <w:rPr>
          <w:spacing w:val="-4"/>
          <w:sz w:val="22"/>
        </w:rPr>
        <w:t> </w:t>
      </w:r>
      <w:r>
        <w:rPr>
          <w:sz w:val="22"/>
        </w:rPr>
        <w:t>J.,</w:t>
      </w:r>
      <w:r>
        <w:rPr>
          <w:spacing w:val="-4"/>
          <w:sz w:val="22"/>
        </w:rPr>
        <w:t> </w:t>
      </w:r>
      <w:r>
        <w:rPr>
          <w:sz w:val="22"/>
        </w:rPr>
        <w:t>Manne,</w:t>
      </w:r>
      <w:r>
        <w:rPr>
          <w:spacing w:val="-1"/>
          <w:sz w:val="22"/>
        </w:rPr>
        <w:t> </w:t>
      </w:r>
      <w:r>
        <w:rPr>
          <w:sz w:val="22"/>
        </w:rPr>
        <w:t>S.</w:t>
      </w:r>
      <w:r>
        <w:rPr>
          <w:spacing w:val="-1"/>
          <w:sz w:val="22"/>
        </w:rPr>
        <w:t> </w:t>
      </w:r>
      <w:r>
        <w:rPr>
          <w:sz w:val="22"/>
        </w:rPr>
        <w:t>L.,</w:t>
      </w:r>
      <w:r>
        <w:rPr>
          <w:spacing w:val="-4"/>
          <w:sz w:val="22"/>
        </w:rPr>
        <w:t> </w:t>
      </w:r>
      <w:r>
        <w:rPr>
          <w:sz w:val="22"/>
        </w:rPr>
        <w:t>&amp;</w:t>
      </w:r>
      <w:r>
        <w:rPr>
          <w:spacing w:val="-3"/>
          <w:sz w:val="22"/>
        </w:rPr>
        <w:t> </w:t>
      </w:r>
      <w:r>
        <w:rPr>
          <w:sz w:val="22"/>
        </w:rPr>
        <w:t>Heckman,</w:t>
      </w:r>
      <w:r>
        <w:rPr>
          <w:spacing w:val="-1"/>
          <w:sz w:val="22"/>
        </w:rPr>
        <w:t> </w:t>
      </w:r>
      <w:r>
        <w:rPr>
          <w:sz w:val="22"/>
        </w:rPr>
        <w:t>C.</w:t>
      </w:r>
      <w:r>
        <w:rPr>
          <w:spacing w:val="-1"/>
          <w:sz w:val="22"/>
        </w:rPr>
        <w:t> </w:t>
      </w:r>
      <w:r>
        <w:rPr>
          <w:sz w:val="22"/>
        </w:rPr>
        <w:t>J.</w:t>
      </w:r>
      <w:r>
        <w:rPr>
          <w:spacing w:val="-4"/>
          <w:sz w:val="22"/>
        </w:rPr>
        <w:t> </w:t>
      </w:r>
      <w:r>
        <w:rPr>
          <w:sz w:val="22"/>
        </w:rPr>
        <w:t>(2008).</w:t>
      </w:r>
      <w:r>
        <w:rPr>
          <w:spacing w:val="-4"/>
          <w:sz w:val="22"/>
        </w:rPr>
        <w:t> </w:t>
      </w:r>
      <w:r>
        <w:rPr>
          <w:sz w:val="22"/>
        </w:rPr>
        <w:t>Multiple</w:t>
      </w:r>
      <w:r>
        <w:rPr>
          <w:spacing w:val="-3"/>
          <w:sz w:val="22"/>
        </w:rPr>
        <w:t> </w:t>
      </w:r>
      <w:r>
        <w:rPr>
          <w:sz w:val="22"/>
        </w:rPr>
        <w:t>skin</w:t>
      </w:r>
      <w:r>
        <w:rPr>
          <w:spacing w:val="-1"/>
          <w:sz w:val="22"/>
        </w:rPr>
        <w:t> </w:t>
      </w:r>
      <w:r>
        <w:rPr>
          <w:sz w:val="22"/>
        </w:rPr>
        <w:t>cancer</w:t>
      </w:r>
      <w:r>
        <w:rPr>
          <w:spacing w:val="-3"/>
          <w:sz w:val="22"/>
        </w:rPr>
        <w:t> </w:t>
      </w:r>
      <w:r>
        <w:rPr>
          <w:sz w:val="22"/>
        </w:rPr>
        <w:t>risk</w:t>
      </w:r>
      <w:r>
        <w:rPr>
          <w:spacing w:val="-4"/>
          <w:sz w:val="22"/>
        </w:rPr>
        <w:t> </w:t>
      </w:r>
      <w:r>
        <w:rPr>
          <w:sz w:val="22"/>
        </w:rPr>
        <w:t>behaviors</w:t>
      </w:r>
      <w:r>
        <w:rPr>
          <w:spacing w:val="-3"/>
          <w:sz w:val="22"/>
        </w:rPr>
        <w:t> </w:t>
      </w:r>
      <w:r>
        <w:rPr>
          <w:sz w:val="22"/>
        </w:rPr>
        <w:t>in</w:t>
      </w:r>
      <w:r>
        <w:rPr>
          <w:spacing w:val="-4"/>
          <w:sz w:val="22"/>
        </w:rPr>
        <w:t> </w:t>
      </w:r>
      <w:r>
        <w:rPr>
          <w:sz w:val="22"/>
        </w:rPr>
        <w:t>the</w:t>
      </w:r>
      <w:r>
        <w:rPr>
          <w:spacing w:val="-1"/>
          <w:sz w:val="22"/>
        </w:rPr>
        <w:t> </w:t>
      </w:r>
      <w:r>
        <w:rPr>
          <w:sz w:val="22"/>
        </w:rPr>
        <w:t>U.S. population.</w:t>
      </w:r>
      <w:r>
        <w:rPr>
          <w:spacing w:val="40"/>
          <w:sz w:val="22"/>
        </w:rPr>
        <w:t> </w:t>
      </w:r>
      <w:r>
        <w:rPr>
          <w:i/>
          <w:sz w:val="22"/>
        </w:rPr>
        <w:t>American Journal of Preventive Medicine</w:t>
      </w:r>
      <w:r>
        <w:rPr>
          <w:sz w:val="22"/>
        </w:rPr>
        <w:t>, </w:t>
      </w:r>
      <w:r>
        <w:rPr>
          <w:i/>
          <w:sz w:val="22"/>
        </w:rPr>
        <w:t>34</w:t>
      </w:r>
      <w:r>
        <w:rPr>
          <w:sz w:val="22"/>
        </w:rPr>
        <w:t>(2), 87-93.</w:t>
      </w:r>
    </w:p>
    <w:p>
      <w:pPr>
        <w:pStyle w:val="BodyText"/>
        <w:ind w:left="238"/>
      </w:pPr>
      <w:r>
        <w:rPr/>
        <w:t>Dollemore,</w:t>
      </w:r>
      <w:r>
        <w:rPr>
          <w:spacing w:val="-9"/>
        </w:rPr>
        <w:t> </w:t>
      </w:r>
      <w:r>
        <w:rPr/>
        <w:t>D.</w:t>
      </w:r>
      <w:r>
        <w:rPr>
          <w:spacing w:val="-9"/>
        </w:rPr>
        <w:t> </w:t>
      </w:r>
      <w:r>
        <w:rPr/>
        <w:t>(2004).</w:t>
      </w:r>
      <w:r>
        <w:rPr>
          <w:spacing w:val="-6"/>
        </w:rPr>
        <w:t> </w:t>
      </w:r>
      <w:r>
        <w:rPr/>
        <w:t>Sneaky</w:t>
      </w:r>
      <w:r>
        <w:rPr>
          <w:spacing w:val="-9"/>
        </w:rPr>
        <w:t> </w:t>
      </w:r>
      <w:r>
        <w:rPr/>
        <w:t>Melanoma.</w:t>
      </w:r>
      <w:r>
        <w:rPr>
          <w:spacing w:val="-6"/>
        </w:rPr>
        <w:t> </w:t>
      </w:r>
      <w:r>
        <w:rPr>
          <w:i/>
        </w:rPr>
        <w:t>Prevention</w:t>
      </w:r>
      <w:r>
        <w:rPr/>
        <w:t>,</w:t>
      </w:r>
      <w:r>
        <w:rPr>
          <w:spacing w:val="-9"/>
        </w:rPr>
        <w:t> </w:t>
      </w:r>
      <w:r>
        <w:rPr>
          <w:i/>
        </w:rPr>
        <w:t>56</w:t>
      </w:r>
      <w:r>
        <w:rPr/>
        <w:t>(11),</w:t>
      </w:r>
      <w:r>
        <w:rPr>
          <w:spacing w:val="-6"/>
        </w:rPr>
        <w:t> </w:t>
      </w:r>
      <w:r>
        <w:rPr>
          <w:spacing w:val="-5"/>
        </w:rPr>
        <w:t>44.</w:t>
      </w:r>
    </w:p>
    <w:p>
      <w:pPr>
        <w:pStyle w:val="BodyText"/>
        <w:ind w:left="958" w:right="600" w:hanging="720"/>
      </w:pPr>
      <w:r>
        <w:rPr/>
        <w:t>Foluo,</w:t>
      </w:r>
      <w:r>
        <w:rPr>
          <w:spacing w:val="-5"/>
        </w:rPr>
        <w:t> </w:t>
      </w:r>
      <w:r>
        <w:rPr/>
        <w:t>J.</w:t>
      </w:r>
      <w:r>
        <w:rPr>
          <w:spacing w:val="-2"/>
        </w:rPr>
        <w:t> </w:t>
      </w:r>
      <w:r>
        <w:rPr/>
        <w:t>(2009).</w:t>
      </w:r>
      <w:r>
        <w:rPr>
          <w:spacing w:val="-10"/>
        </w:rPr>
        <w:t> </w:t>
      </w:r>
      <w:r>
        <w:rPr/>
        <w:t>The</w:t>
      </w:r>
      <w:r>
        <w:rPr>
          <w:spacing w:val="-2"/>
        </w:rPr>
        <w:t> </w:t>
      </w:r>
      <w:r>
        <w:rPr/>
        <w:t>lighter</w:t>
      </w:r>
      <w:r>
        <w:rPr>
          <w:spacing w:val="-1"/>
        </w:rPr>
        <w:t> </w:t>
      </w:r>
      <w:r>
        <w:rPr/>
        <w:t>side</w:t>
      </w:r>
      <w:r>
        <w:rPr>
          <w:spacing w:val="-2"/>
        </w:rPr>
        <w:t> </w:t>
      </w:r>
      <w:r>
        <w:rPr/>
        <w:t>of</w:t>
      </w:r>
      <w:r>
        <w:rPr>
          <w:spacing w:val="-1"/>
        </w:rPr>
        <w:t> </w:t>
      </w:r>
      <w:r>
        <w:rPr/>
        <w:t>marriage:</w:t>
      </w:r>
      <w:r>
        <w:rPr>
          <w:spacing w:val="-4"/>
        </w:rPr>
        <w:t> </w:t>
      </w:r>
      <w:r>
        <w:rPr/>
        <w:t>Skin</w:t>
      </w:r>
      <w:r>
        <w:rPr>
          <w:spacing w:val="-2"/>
        </w:rPr>
        <w:t> </w:t>
      </w:r>
      <w:r>
        <w:rPr/>
        <w:t>bleaching</w:t>
      </w:r>
      <w:r>
        <w:rPr>
          <w:spacing w:val="-5"/>
        </w:rPr>
        <w:t> </w:t>
      </w:r>
      <w:r>
        <w:rPr/>
        <w:t>in</w:t>
      </w:r>
      <w:r>
        <w:rPr>
          <w:spacing w:val="-5"/>
        </w:rPr>
        <w:t> </w:t>
      </w:r>
      <w:r>
        <w:rPr/>
        <w:t>post-colonial</w:t>
      </w:r>
      <w:r>
        <w:rPr>
          <w:spacing w:val="-1"/>
        </w:rPr>
        <w:t> </w:t>
      </w:r>
      <w:r>
        <w:rPr/>
        <w:t>Ghana.</w:t>
      </w:r>
      <w:r>
        <w:rPr>
          <w:spacing w:val="-2"/>
        </w:rPr>
        <w:t> </w:t>
      </w:r>
      <w:r>
        <w:rPr>
          <w:i/>
        </w:rPr>
        <w:t>African &amp;</w:t>
      </w:r>
      <w:r>
        <w:rPr>
          <w:i/>
          <w:spacing w:val="-13"/>
        </w:rPr>
        <w:t> </w:t>
      </w:r>
      <w:r>
        <w:rPr>
          <w:i/>
        </w:rPr>
        <w:t>Asian</w:t>
      </w:r>
      <w:r>
        <w:rPr>
          <w:i/>
        </w:rPr>
        <w:t> Studies</w:t>
      </w:r>
      <w:r>
        <w:rPr/>
        <w:t>, </w:t>
      </w:r>
      <w:r>
        <w:rPr>
          <w:i/>
        </w:rPr>
        <w:t>8</w:t>
      </w:r>
      <w:r>
        <w:rPr/>
        <w:t>(1/2), 125.</w:t>
      </w:r>
    </w:p>
    <w:p>
      <w:pPr>
        <w:pStyle w:val="BodyText"/>
        <w:ind w:left="958" w:right="654" w:hanging="721"/>
      </w:pPr>
      <w:r>
        <w:rPr/>
        <w:t>Garside,</w:t>
      </w:r>
      <w:r>
        <w:rPr>
          <w:spacing w:val="-3"/>
        </w:rPr>
        <w:t> </w:t>
      </w:r>
      <w:r>
        <w:rPr/>
        <w:t>R.,</w:t>
      </w:r>
      <w:r>
        <w:rPr>
          <w:spacing w:val="-3"/>
        </w:rPr>
        <w:t> </w:t>
      </w:r>
      <w:r>
        <w:rPr/>
        <w:t>Pearson,</w:t>
      </w:r>
      <w:r>
        <w:rPr>
          <w:spacing w:val="-6"/>
        </w:rPr>
        <w:t> </w:t>
      </w:r>
      <w:r>
        <w:rPr/>
        <w:t>M.,</w:t>
      </w:r>
      <w:r>
        <w:rPr>
          <w:spacing w:val="-3"/>
        </w:rPr>
        <w:t> </w:t>
      </w:r>
      <w:r>
        <w:rPr/>
        <w:t>&amp;</w:t>
      </w:r>
      <w:r>
        <w:rPr>
          <w:spacing w:val="-7"/>
        </w:rPr>
        <w:t> </w:t>
      </w:r>
      <w:r>
        <w:rPr/>
        <w:t>Moxham,</w:t>
      </w:r>
      <w:r>
        <w:rPr>
          <w:spacing w:val="-8"/>
        </w:rPr>
        <w:t> </w:t>
      </w:r>
      <w:r>
        <w:rPr/>
        <w:t>T.</w:t>
      </w:r>
      <w:r>
        <w:rPr>
          <w:spacing w:val="-3"/>
        </w:rPr>
        <w:t> </w:t>
      </w:r>
      <w:r>
        <w:rPr/>
        <w:t>(2010).</w:t>
      </w:r>
      <w:r>
        <w:rPr>
          <w:spacing w:val="-8"/>
        </w:rPr>
        <w:t> </w:t>
      </w:r>
      <w:r>
        <w:rPr/>
        <w:t>What</w:t>
      </w:r>
      <w:r>
        <w:rPr>
          <w:spacing w:val="-5"/>
        </w:rPr>
        <w:t> </w:t>
      </w:r>
      <w:r>
        <w:rPr/>
        <w:t>influences</w:t>
      </w:r>
      <w:r>
        <w:rPr>
          <w:spacing w:val="-5"/>
        </w:rPr>
        <w:t> </w:t>
      </w:r>
      <w:r>
        <w:rPr/>
        <w:t>the</w:t>
      </w:r>
      <w:r>
        <w:rPr>
          <w:spacing w:val="-5"/>
        </w:rPr>
        <w:t> </w:t>
      </w:r>
      <w:r>
        <w:rPr/>
        <w:t>uptake</w:t>
      </w:r>
      <w:r>
        <w:rPr>
          <w:spacing w:val="-3"/>
        </w:rPr>
        <w:t> </w:t>
      </w:r>
      <w:r>
        <w:rPr/>
        <w:t>of</w:t>
      </w:r>
      <w:r>
        <w:rPr>
          <w:spacing w:val="-2"/>
        </w:rPr>
        <w:t> </w:t>
      </w:r>
      <w:r>
        <w:rPr/>
        <w:t>information</w:t>
      </w:r>
      <w:r>
        <w:rPr>
          <w:spacing w:val="-6"/>
        </w:rPr>
        <w:t> </w:t>
      </w:r>
      <w:r>
        <w:rPr/>
        <w:t>to</w:t>
      </w:r>
      <w:r>
        <w:rPr>
          <w:spacing w:val="-3"/>
        </w:rPr>
        <w:t> </w:t>
      </w:r>
      <w:r>
        <w:rPr/>
        <w:t>prevent skin cancer?</w:t>
      </w:r>
      <w:r>
        <w:rPr>
          <w:spacing w:val="-4"/>
        </w:rPr>
        <w:t> </w:t>
      </w:r>
      <w:r>
        <w:rPr/>
        <w:t>A</w:t>
      </w:r>
      <w:r>
        <w:rPr>
          <w:spacing w:val="-3"/>
        </w:rPr>
        <w:t> </w:t>
      </w:r>
      <w:r>
        <w:rPr/>
        <w:t>systematic review and synthesis of qualitative research. </w:t>
      </w:r>
      <w:r>
        <w:rPr>
          <w:i/>
        </w:rPr>
        <w:t>Health Education</w:t>
      </w:r>
      <w:r>
        <w:rPr>
          <w:i/>
        </w:rPr>
        <w:t> Research</w:t>
      </w:r>
      <w:r>
        <w:rPr/>
        <w:t>, </w:t>
      </w:r>
      <w:r>
        <w:rPr>
          <w:i/>
        </w:rPr>
        <w:t>25</w:t>
      </w:r>
      <w:r>
        <w:rPr/>
        <w:t>(1), 162-182.</w:t>
      </w:r>
    </w:p>
    <w:p>
      <w:pPr>
        <w:spacing w:before="0"/>
        <w:ind w:left="957" w:right="0" w:hanging="720"/>
        <w:jc w:val="left"/>
        <w:rPr>
          <w:sz w:val="22"/>
        </w:rPr>
      </w:pPr>
      <w:r>
        <w:rPr>
          <w:sz w:val="22"/>
        </w:rPr>
        <w:t>Gloster,</w:t>
      </w:r>
      <w:r>
        <w:rPr>
          <w:spacing w:val="-3"/>
          <w:sz w:val="22"/>
        </w:rPr>
        <w:t> </w:t>
      </w:r>
      <w:r>
        <w:rPr>
          <w:sz w:val="22"/>
        </w:rPr>
        <w:t>H.</w:t>
      </w:r>
      <w:r>
        <w:rPr>
          <w:spacing w:val="-3"/>
          <w:sz w:val="22"/>
        </w:rPr>
        <w:t> </w:t>
      </w:r>
      <w:r>
        <w:rPr>
          <w:sz w:val="22"/>
        </w:rPr>
        <w:t>M.,</w:t>
      </w:r>
      <w:r>
        <w:rPr>
          <w:spacing w:val="-6"/>
          <w:sz w:val="22"/>
        </w:rPr>
        <w:t> </w:t>
      </w:r>
      <w:r>
        <w:rPr>
          <w:sz w:val="22"/>
        </w:rPr>
        <w:t>Jr.,</w:t>
      </w:r>
      <w:r>
        <w:rPr>
          <w:spacing w:val="-3"/>
          <w:sz w:val="22"/>
        </w:rPr>
        <w:t> </w:t>
      </w:r>
      <w:r>
        <w:rPr>
          <w:sz w:val="22"/>
        </w:rPr>
        <w:t>&amp;</w:t>
      </w:r>
      <w:r>
        <w:rPr>
          <w:spacing w:val="-5"/>
          <w:sz w:val="22"/>
        </w:rPr>
        <w:t> </w:t>
      </w:r>
      <w:r>
        <w:rPr>
          <w:sz w:val="22"/>
        </w:rPr>
        <w:t>Neal,</w:t>
      </w:r>
      <w:r>
        <w:rPr>
          <w:spacing w:val="-6"/>
          <w:sz w:val="22"/>
        </w:rPr>
        <w:t> </w:t>
      </w:r>
      <w:r>
        <w:rPr>
          <w:sz w:val="22"/>
        </w:rPr>
        <w:t>K.</w:t>
      </w:r>
      <w:r>
        <w:rPr>
          <w:spacing w:val="-3"/>
          <w:sz w:val="22"/>
        </w:rPr>
        <w:t> </w:t>
      </w:r>
      <w:r>
        <w:rPr>
          <w:sz w:val="22"/>
        </w:rPr>
        <w:t>(2006).</w:t>
      </w:r>
      <w:r>
        <w:rPr>
          <w:spacing w:val="-3"/>
          <w:sz w:val="22"/>
        </w:rPr>
        <w:t> </w:t>
      </w:r>
      <w:r>
        <w:rPr>
          <w:sz w:val="22"/>
        </w:rPr>
        <w:t>Skin</w:t>
      </w:r>
      <w:r>
        <w:rPr>
          <w:spacing w:val="-3"/>
          <w:sz w:val="22"/>
        </w:rPr>
        <w:t> </w:t>
      </w:r>
      <w:r>
        <w:rPr>
          <w:sz w:val="22"/>
        </w:rPr>
        <w:t>cancer</w:t>
      </w:r>
      <w:r>
        <w:rPr>
          <w:spacing w:val="-2"/>
          <w:sz w:val="22"/>
        </w:rPr>
        <w:t> </w:t>
      </w:r>
      <w:r>
        <w:rPr>
          <w:sz w:val="22"/>
        </w:rPr>
        <w:t>in</w:t>
      </w:r>
      <w:r>
        <w:rPr>
          <w:spacing w:val="-6"/>
          <w:sz w:val="22"/>
        </w:rPr>
        <w:t> </w:t>
      </w:r>
      <w:r>
        <w:rPr>
          <w:sz w:val="22"/>
        </w:rPr>
        <w:t>skin</w:t>
      </w:r>
      <w:r>
        <w:rPr>
          <w:spacing w:val="-3"/>
          <w:sz w:val="22"/>
        </w:rPr>
        <w:t> </w:t>
      </w:r>
      <w:r>
        <w:rPr>
          <w:sz w:val="22"/>
        </w:rPr>
        <w:t>of</w:t>
      </w:r>
      <w:r>
        <w:rPr>
          <w:spacing w:val="-2"/>
          <w:sz w:val="22"/>
        </w:rPr>
        <w:t> </w:t>
      </w:r>
      <w:r>
        <w:rPr>
          <w:sz w:val="22"/>
        </w:rPr>
        <w:t>color.</w:t>
      </w:r>
      <w:r>
        <w:rPr>
          <w:spacing w:val="-6"/>
          <w:sz w:val="22"/>
        </w:rPr>
        <w:t> </w:t>
      </w:r>
      <w:r>
        <w:rPr>
          <w:i/>
          <w:sz w:val="22"/>
        </w:rPr>
        <w:t>Journal</w:t>
      </w:r>
      <w:r>
        <w:rPr>
          <w:i/>
          <w:spacing w:val="-5"/>
          <w:sz w:val="22"/>
        </w:rPr>
        <w:t> </w:t>
      </w:r>
      <w:r>
        <w:rPr>
          <w:i/>
          <w:sz w:val="22"/>
        </w:rPr>
        <w:t>of</w:t>
      </w:r>
      <w:r>
        <w:rPr>
          <w:i/>
          <w:spacing w:val="-5"/>
          <w:sz w:val="22"/>
        </w:rPr>
        <w:t> </w:t>
      </w:r>
      <w:r>
        <w:rPr>
          <w:i/>
          <w:sz w:val="22"/>
        </w:rPr>
        <w:t>the</w:t>
      </w:r>
      <w:r>
        <w:rPr>
          <w:i/>
          <w:spacing w:val="-10"/>
          <w:sz w:val="22"/>
        </w:rPr>
        <w:t> </w:t>
      </w:r>
      <w:r>
        <w:rPr>
          <w:i/>
          <w:sz w:val="22"/>
        </w:rPr>
        <w:t>American</w:t>
      </w:r>
      <w:r>
        <w:rPr>
          <w:i/>
          <w:spacing w:val="-8"/>
          <w:sz w:val="22"/>
        </w:rPr>
        <w:t> </w:t>
      </w:r>
      <w:r>
        <w:rPr>
          <w:i/>
          <w:sz w:val="22"/>
        </w:rPr>
        <w:t>Academy</w:t>
      </w:r>
      <w:r>
        <w:rPr>
          <w:i/>
          <w:spacing w:val="-5"/>
          <w:sz w:val="22"/>
        </w:rPr>
        <w:t> </w:t>
      </w:r>
      <w:r>
        <w:rPr>
          <w:i/>
          <w:sz w:val="22"/>
        </w:rPr>
        <w:t>of</w:t>
      </w:r>
      <w:r>
        <w:rPr>
          <w:i/>
          <w:sz w:val="22"/>
        </w:rPr>
        <w:t> Dermatology</w:t>
      </w:r>
      <w:r>
        <w:rPr>
          <w:sz w:val="22"/>
        </w:rPr>
        <w:t>, </w:t>
      </w:r>
      <w:r>
        <w:rPr>
          <w:i/>
          <w:sz w:val="22"/>
        </w:rPr>
        <w:t>55</w:t>
      </w:r>
      <w:r>
        <w:rPr>
          <w:sz w:val="22"/>
        </w:rPr>
        <w:t>(5), 741-760; quiz 761-744.</w:t>
      </w:r>
    </w:p>
    <w:p>
      <w:pPr>
        <w:pStyle w:val="BodyText"/>
        <w:ind w:left="957" w:right="905" w:hanging="721"/>
      </w:pPr>
      <w:r>
        <w:rPr/>
        <w:t>Halder,</w:t>
      </w:r>
      <w:r>
        <w:rPr>
          <w:spacing w:val="-2"/>
        </w:rPr>
        <w:t> </w:t>
      </w:r>
      <w:r>
        <w:rPr/>
        <w:t>R.</w:t>
      </w:r>
      <w:r>
        <w:rPr>
          <w:spacing w:val="-5"/>
        </w:rPr>
        <w:t> </w:t>
      </w:r>
      <w:r>
        <w:rPr/>
        <w:t>M.,</w:t>
      </w:r>
      <w:r>
        <w:rPr>
          <w:spacing w:val="-2"/>
        </w:rPr>
        <w:t> </w:t>
      </w:r>
      <w:r>
        <w:rPr/>
        <w:t>&amp;</w:t>
      </w:r>
      <w:r>
        <w:rPr>
          <w:spacing w:val="-4"/>
        </w:rPr>
        <w:t> </w:t>
      </w:r>
      <w:r>
        <w:rPr/>
        <w:t>Bridgeman-Shah,</w:t>
      </w:r>
      <w:r>
        <w:rPr>
          <w:spacing w:val="-2"/>
        </w:rPr>
        <w:t> </w:t>
      </w:r>
      <w:r>
        <w:rPr/>
        <w:t>S.</w:t>
      </w:r>
      <w:r>
        <w:rPr>
          <w:spacing w:val="-3"/>
        </w:rPr>
        <w:t> </w:t>
      </w:r>
      <w:r>
        <w:rPr/>
        <w:t>(1995).</w:t>
      </w:r>
      <w:r>
        <w:rPr>
          <w:spacing w:val="-2"/>
        </w:rPr>
        <w:t> </w:t>
      </w:r>
      <w:r>
        <w:rPr/>
        <w:t>Skin</w:t>
      </w:r>
      <w:r>
        <w:rPr>
          <w:spacing w:val="-5"/>
        </w:rPr>
        <w:t> </w:t>
      </w:r>
      <w:r>
        <w:rPr/>
        <w:t>cancer</w:t>
      </w:r>
      <w:r>
        <w:rPr>
          <w:spacing w:val="-4"/>
        </w:rPr>
        <w:t> </w:t>
      </w:r>
      <w:r>
        <w:rPr/>
        <w:t>in</w:t>
      </w:r>
      <w:r>
        <w:rPr>
          <w:spacing w:val="-14"/>
        </w:rPr>
        <w:t> </w:t>
      </w:r>
      <w:r>
        <w:rPr/>
        <w:t>African</w:t>
      </w:r>
      <w:r>
        <w:rPr>
          <w:spacing w:val="-14"/>
        </w:rPr>
        <w:t> </w:t>
      </w:r>
      <w:r>
        <w:rPr/>
        <w:t>Americans.</w:t>
      </w:r>
      <w:r>
        <w:rPr>
          <w:spacing w:val="-5"/>
        </w:rPr>
        <w:t> </w:t>
      </w:r>
      <w:r>
        <w:rPr>
          <w:i/>
        </w:rPr>
        <w:t>Cancer</w:t>
      </w:r>
      <w:r>
        <w:rPr/>
        <w:t>,</w:t>
      </w:r>
      <w:r>
        <w:rPr>
          <w:spacing w:val="-2"/>
        </w:rPr>
        <w:t> </w:t>
      </w:r>
      <w:r>
        <w:rPr>
          <w:i/>
        </w:rPr>
        <w:t>75</w:t>
      </w:r>
      <w:r>
        <w:rPr/>
        <w:t>(2</w:t>
      </w:r>
      <w:r>
        <w:rPr>
          <w:spacing w:val="-3"/>
        </w:rPr>
        <w:t> </w:t>
      </w:r>
      <w:r>
        <w:rPr/>
        <w:t>Suppl), </w:t>
      </w:r>
      <w:r>
        <w:rPr>
          <w:spacing w:val="-2"/>
        </w:rPr>
        <w:t>667-673.</w:t>
      </w:r>
    </w:p>
    <w:p>
      <w:pPr>
        <w:pStyle w:val="BodyText"/>
        <w:spacing w:line="242" w:lineRule="auto"/>
        <w:ind w:left="957" w:right="654" w:hanging="721"/>
      </w:pPr>
      <w:r>
        <w:rPr/>
        <w:t>Health</w:t>
      </w:r>
      <w:r>
        <w:rPr>
          <w:spacing w:val="-6"/>
        </w:rPr>
        <w:t> </w:t>
      </w:r>
      <w:r>
        <w:rPr/>
        <w:t>Reform.</w:t>
      </w:r>
      <w:r>
        <w:rPr>
          <w:spacing w:val="-4"/>
        </w:rPr>
        <w:t> </w:t>
      </w:r>
      <w:r>
        <w:rPr/>
        <w:t>(2011).</w:t>
      </w:r>
      <w:r>
        <w:rPr>
          <w:spacing w:val="-4"/>
        </w:rPr>
        <w:t> </w:t>
      </w:r>
      <w:r>
        <w:rPr/>
        <w:t>Health</w:t>
      </w:r>
      <w:r>
        <w:rPr>
          <w:spacing w:val="-4"/>
        </w:rPr>
        <w:t> </w:t>
      </w:r>
      <w:r>
        <w:rPr/>
        <w:t>disparities:</w:t>
      </w:r>
      <w:r>
        <w:rPr>
          <w:spacing w:val="-14"/>
        </w:rPr>
        <w:t> </w:t>
      </w:r>
      <w:r>
        <w:rPr/>
        <w:t>A</w:t>
      </w:r>
      <w:r>
        <w:rPr>
          <w:spacing w:val="-16"/>
        </w:rPr>
        <w:t> </w:t>
      </w:r>
      <w:r>
        <w:rPr/>
        <w:t>case</w:t>
      </w:r>
      <w:r>
        <w:rPr>
          <w:spacing w:val="-4"/>
        </w:rPr>
        <w:t> </w:t>
      </w:r>
      <w:r>
        <w:rPr/>
        <w:t>for</w:t>
      </w:r>
      <w:r>
        <w:rPr>
          <w:spacing w:val="-3"/>
        </w:rPr>
        <w:t> </w:t>
      </w:r>
      <w:r>
        <w:rPr/>
        <w:t>closing</w:t>
      </w:r>
      <w:r>
        <w:rPr>
          <w:spacing w:val="-7"/>
        </w:rPr>
        <w:t> </w:t>
      </w:r>
      <w:r>
        <w:rPr/>
        <w:t>the</w:t>
      </w:r>
      <w:r>
        <w:rPr>
          <w:spacing w:val="-4"/>
        </w:rPr>
        <w:t> </w:t>
      </w:r>
      <w:r>
        <w:rPr/>
        <w:t>gap.</w:t>
      </w:r>
      <w:r>
        <w:rPr>
          <w:spacing w:val="-4"/>
        </w:rPr>
        <w:t> </w:t>
      </w:r>
      <w:r>
        <w:rPr/>
        <w:t>Retrieved</w:t>
      </w:r>
      <w:r>
        <w:rPr>
          <w:spacing w:val="-4"/>
        </w:rPr>
        <w:t> </w:t>
      </w:r>
      <w:r>
        <w:rPr/>
        <w:t>from </w:t>
      </w:r>
      <w:hyperlink r:id="rId13">
        <w:r>
          <w:rPr>
            <w:spacing w:val="-2"/>
          </w:rPr>
          <w:t>http://www.healthreform.gov/reports/healthdisparities/#.</w:t>
        </w:r>
      </w:hyperlink>
    </w:p>
    <w:p>
      <w:pPr>
        <w:pStyle w:val="BodyText"/>
        <w:ind w:left="957" w:right="463" w:hanging="721"/>
      </w:pPr>
      <w:r>
        <w:rPr/>
        <w:t>Hutcheson,</w:t>
      </w:r>
      <w:r>
        <w:rPr>
          <w:spacing w:val="-14"/>
        </w:rPr>
        <w:t> </w:t>
      </w:r>
      <w:r>
        <w:rPr/>
        <w:t>A.</w:t>
      </w:r>
      <w:r>
        <w:rPr>
          <w:spacing w:val="-3"/>
        </w:rPr>
        <w:t> </w:t>
      </w:r>
      <w:r>
        <w:rPr/>
        <w:t>C.</w:t>
      </w:r>
      <w:r>
        <w:rPr>
          <w:spacing w:val="-3"/>
        </w:rPr>
        <w:t> </w:t>
      </w:r>
      <w:r>
        <w:rPr/>
        <w:t>S.,</w:t>
      </w:r>
      <w:r>
        <w:rPr>
          <w:spacing w:val="-6"/>
        </w:rPr>
        <w:t> </w:t>
      </w:r>
      <w:r>
        <w:rPr/>
        <w:t>McGowan,</w:t>
      </w:r>
      <w:r>
        <w:rPr>
          <w:spacing w:val="-6"/>
        </w:rPr>
        <w:t> </w:t>
      </w:r>
      <w:r>
        <w:rPr/>
        <w:t>J.</w:t>
      </w:r>
      <w:r>
        <w:rPr>
          <w:spacing w:val="-8"/>
        </w:rPr>
        <w:t> </w:t>
      </w:r>
      <w:r>
        <w:rPr/>
        <w:t>W.,</w:t>
      </w:r>
      <w:r>
        <w:rPr>
          <w:spacing w:val="-3"/>
        </w:rPr>
        <w:t> </w:t>
      </w:r>
      <w:r>
        <w:rPr/>
        <w:t>Maize,</w:t>
      </w:r>
      <w:r>
        <w:rPr>
          <w:spacing w:val="-6"/>
        </w:rPr>
        <w:t> </w:t>
      </w:r>
      <w:r>
        <w:rPr/>
        <w:t>J.</w:t>
      </w:r>
      <w:r>
        <w:rPr>
          <w:spacing w:val="-3"/>
        </w:rPr>
        <w:t> </w:t>
      </w:r>
      <w:r>
        <w:rPr/>
        <w:t>C.,</w:t>
      </w:r>
      <w:r>
        <w:rPr>
          <w:spacing w:val="-3"/>
        </w:rPr>
        <w:t> </w:t>
      </w:r>
      <w:r>
        <w:rPr/>
        <w:t>&amp;</w:t>
      </w:r>
      <w:r>
        <w:rPr>
          <w:spacing w:val="-7"/>
        </w:rPr>
        <w:t> </w:t>
      </w:r>
      <w:r>
        <w:rPr/>
        <w:t>Cook,</w:t>
      </w:r>
      <w:r>
        <w:rPr>
          <w:spacing w:val="-3"/>
        </w:rPr>
        <w:t> </w:t>
      </w:r>
      <w:r>
        <w:rPr/>
        <w:t>J.</w:t>
      </w:r>
      <w:r>
        <w:rPr>
          <w:spacing w:val="-3"/>
        </w:rPr>
        <w:t> </w:t>
      </w:r>
      <w:r>
        <w:rPr/>
        <w:t>(2007).</w:t>
      </w:r>
      <w:r>
        <w:rPr>
          <w:spacing w:val="-3"/>
        </w:rPr>
        <w:t> </w:t>
      </w:r>
      <w:r>
        <w:rPr/>
        <w:t>Multiple</w:t>
      </w:r>
      <w:r>
        <w:rPr>
          <w:spacing w:val="-3"/>
        </w:rPr>
        <w:t> </w:t>
      </w:r>
      <w:r>
        <w:rPr/>
        <w:t>primary</w:t>
      </w:r>
      <w:r>
        <w:rPr>
          <w:spacing w:val="-6"/>
        </w:rPr>
        <w:t> </w:t>
      </w:r>
      <w:r>
        <w:rPr/>
        <w:t>acral</w:t>
      </w:r>
      <w:r>
        <w:rPr>
          <w:spacing w:val="-2"/>
        </w:rPr>
        <w:t> </w:t>
      </w:r>
      <w:r>
        <w:rPr/>
        <w:t>melanomas in</w:t>
      </w:r>
      <w:r>
        <w:rPr>
          <w:spacing w:val="-9"/>
        </w:rPr>
        <w:t> </w:t>
      </w:r>
      <w:r>
        <w:rPr/>
        <w:t>African-Americans:</w:t>
      </w:r>
      <w:r>
        <w:rPr>
          <w:spacing w:val="-8"/>
        </w:rPr>
        <w:t> </w:t>
      </w:r>
      <w:r>
        <w:rPr/>
        <w:t>A</w:t>
      </w:r>
      <w:r>
        <w:rPr>
          <w:spacing w:val="-10"/>
        </w:rPr>
        <w:t> </w:t>
      </w:r>
      <w:r>
        <w:rPr/>
        <w:t>case series and review of the literature. </w:t>
      </w:r>
      <w:r>
        <w:rPr>
          <w:i/>
        </w:rPr>
        <w:t>Dermatologic Surgery</w:t>
      </w:r>
      <w:r>
        <w:rPr/>
        <w:t>, </w:t>
      </w:r>
      <w:r>
        <w:rPr>
          <w:i/>
        </w:rPr>
        <w:t>33</w:t>
      </w:r>
      <w:r>
        <w:rPr/>
        <w:t>(1), 1- </w:t>
      </w:r>
      <w:r>
        <w:rPr>
          <w:spacing w:val="-4"/>
        </w:rPr>
        <w:t>10.</w:t>
      </w:r>
    </w:p>
    <w:p>
      <w:pPr>
        <w:pStyle w:val="BodyText"/>
        <w:spacing w:line="252" w:lineRule="exact"/>
        <w:ind w:left="237"/>
      </w:pPr>
      <w:r>
        <w:rPr/>
        <w:t>Hu,</w:t>
      </w:r>
      <w:r>
        <w:rPr>
          <w:spacing w:val="-12"/>
        </w:rPr>
        <w:t> </w:t>
      </w:r>
      <w:r>
        <w:rPr/>
        <w:t>S.,</w:t>
      </w:r>
      <w:r>
        <w:rPr>
          <w:spacing w:val="-4"/>
        </w:rPr>
        <w:t> </w:t>
      </w:r>
      <w:r>
        <w:rPr/>
        <w:t>Parker,</w:t>
      </w:r>
      <w:r>
        <w:rPr>
          <w:spacing w:val="-5"/>
        </w:rPr>
        <w:t> </w:t>
      </w:r>
      <w:r>
        <w:rPr/>
        <w:t>D.</w:t>
      </w:r>
      <w:r>
        <w:rPr>
          <w:spacing w:val="-5"/>
        </w:rPr>
        <w:t> </w:t>
      </w:r>
      <w:r>
        <w:rPr/>
        <w:t>F.,</w:t>
      </w:r>
      <w:r>
        <w:rPr>
          <w:spacing w:val="-12"/>
        </w:rPr>
        <w:t> </w:t>
      </w:r>
      <w:r>
        <w:rPr/>
        <w:t>Thomas,</w:t>
      </w:r>
      <w:r>
        <w:rPr>
          <w:spacing w:val="-14"/>
        </w:rPr>
        <w:t> </w:t>
      </w:r>
      <w:r>
        <w:rPr/>
        <w:t>A.</w:t>
      </w:r>
      <w:r>
        <w:rPr>
          <w:spacing w:val="-5"/>
        </w:rPr>
        <w:t> </w:t>
      </w:r>
      <w:r>
        <w:rPr/>
        <w:t>G.,</w:t>
      </w:r>
      <w:r>
        <w:rPr>
          <w:spacing w:val="-5"/>
        </w:rPr>
        <w:t> </w:t>
      </w:r>
      <w:r>
        <w:rPr/>
        <w:t>&amp;</w:t>
      </w:r>
      <w:r>
        <w:rPr>
          <w:spacing w:val="-7"/>
        </w:rPr>
        <w:t> </w:t>
      </w:r>
      <w:r>
        <w:rPr/>
        <w:t>Kirsner,</w:t>
      </w:r>
      <w:r>
        <w:rPr>
          <w:spacing w:val="-7"/>
        </w:rPr>
        <w:t> </w:t>
      </w:r>
      <w:r>
        <w:rPr/>
        <w:t>R.</w:t>
      </w:r>
      <w:r>
        <w:rPr>
          <w:spacing w:val="-5"/>
        </w:rPr>
        <w:t> </w:t>
      </w:r>
      <w:r>
        <w:rPr/>
        <w:t>S.</w:t>
      </w:r>
      <w:r>
        <w:rPr>
          <w:spacing w:val="-5"/>
        </w:rPr>
        <w:t> </w:t>
      </w:r>
      <w:r>
        <w:rPr/>
        <w:t>(2004).</w:t>
      </w:r>
      <w:r>
        <w:rPr>
          <w:spacing w:val="-14"/>
        </w:rPr>
        <w:t> </w:t>
      </w:r>
      <w:r>
        <w:rPr/>
        <w:t>Advanced</w:t>
      </w:r>
      <w:r>
        <w:rPr>
          <w:spacing w:val="-5"/>
        </w:rPr>
        <w:t> </w:t>
      </w:r>
      <w:r>
        <w:rPr/>
        <w:t>presentation</w:t>
      </w:r>
      <w:r>
        <w:rPr>
          <w:spacing w:val="-5"/>
        </w:rPr>
        <w:t> </w:t>
      </w:r>
      <w:r>
        <w:rPr/>
        <w:t>of</w:t>
      </w:r>
      <w:r>
        <w:rPr>
          <w:spacing w:val="-4"/>
        </w:rPr>
        <w:t> </w:t>
      </w:r>
      <w:r>
        <w:rPr/>
        <w:t>melanoma</w:t>
      </w:r>
      <w:r>
        <w:rPr>
          <w:spacing w:val="-4"/>
        </w:rPr>
        <w:t> </w:t>
      </w:r>
      <w:r>
        <w:rPr>
          <w:spacing w:val="-5"/>
        </w:rPr>
        <w:t>in</w:t>
      </w:r>
    </w:p>
    <w:p>
      <w:pPr>
        <w:spacing w:after="0" w:line="252" w:lineRule="exact"/>
        <w:sectPr>
          <w:type w:val="continuous"/>
          <w:pgSz w:w="12240" w:h="15840"/>
          <w:pgMar w:header="699" w:footer="1070" w:top="1340" w:bottom="1260" w:left="1200" w:right="880"/>
        </w:sectPr>
      </w:pPr>
    </w:p>
    <w:p>
      <w:pPr>
        <w:spacing w:before="84"/>
        <w:ind w:left="959" w:right="654" w:firstLine="0"/>
        <w:jc w:val="left"/>
        <w:rPr>
          <w:sz w:val="22"/>
        </w:rPr>
      </w:pPr>
      <w:r>
        <w:rPr>
          <w:sz w:val="22"/>
        </w:rPr>
        <w:t>African</w:t>
      </w:r>
      <w:r>
        <w:rPr>
          <w:spacing w:val="-14"/>
          <w:sz w:val="22"/>
        </w:rPr>
        <w:t> </w:t>
      </w:r>
      <w:r>
        <w:rPr>
          <w:sz w:val="22"/>
        </w:rPr>
        <w:t>Americans:</w:t>
      </w:r>
      <w:r>
        <w:rPr>
          <w:spacing w:val="-2"/>
          <w:sz w:val="22"/>
        </w:rPr>
        <w:t> </w:t>
      </w:r>
      <w:r>
        <w:rPr>
          <w:sz w:val="22"/>
        </w:rPr>
        <w:t>the</w:t>
      </w:r>
      <w:r>
        <w:rPr>
          <w:spacing w:val="-3"/>
          <w:sz w:val="22"/>
        </w:rPr>
        <w:t> </w:t>
      </w:r>
      <w:r>
        <w:rPr>
          <w:sz w:val="22"/>
        </w:rPr>
        <w:t>Miami-Dade</w:t>
      </w:r>
      <w:r>
        <w:rPr>
          <w:spacing w:val="-3"/>
          <w:sz w:val="22"/>
        </w:rPr>
        <w:t> </w:t>
      </w:r>
      <w:r>
        <w:rPr>
          <w:sz w:val="22"/>
        </w:rPr>
        <w:t>county</w:t>
      </w:r>
      <w:r>
        <w:rPr>
          <w:spacing w:val="-6"/>
          <w:sz w:val="22"/>
        </w:rPr>
        <w:t> </w:t>
      </w:r>
      <w:r>
        <w:rPr>
          <w:sz w:val="22"/>
        </w:rPr>
        <w:t>experience.</w:t>
      </w:r>
      <w:r>
        <w:rPr>
          <w:spacing w:val="-3"/>
          <w:sz w:val="22"/>
        </w:rPr>
        <w:t> </w:t>
      </w:r>
      <w:r>
        <w:rPr>
          <w:i/>
          <w:sz w:val="22"/>
        </w:rPr>
        <w:t>Journal</w:t>
      </w:r>
      <w:r>
        <w:rPr>
          <w:i/>
          <w:spacing w:val="-5"/>
          <w:sz w:val="22"/>
        </w:rPr>
        <w:t> </w:t>
      </w:r>
      <w:r>
        <w:rPr>
          <w:i/>
          <w:sz w:val="22"/>
        </w:rPr>
        <w:t>of</w:t>
      </w:r>
      <w:r>
        <w:rPr>
          <w:i/>
          <w:spacing w:val="-5"/>
          <w:sz w:val="22"/>
        </w:rPr>
        <w:t> </w:t>
      </w:r>
      <w:r>
        <w:rPr>
          <w:i/>
          <w:sz w:val="22"/>
        </w:rPr>
        <w:t>the</w:t>
      </w:r>
      <w:r>
        <w:rPr>
          <w:i/>
          <w:spacing w:val="-8"/>
          <w:sz w:val="22"/>
        </w:rPr>
        <w:t> </w:t>
      </w:r>
      <w:r>
        <w:rPr>
          <w:i/>
          <w:sz w:val="22"/>
        </w:rPr>
        <w:t>American</w:t>
      </w:r>
      <w:r>
        <w:rPr>
          <w:i/>
          <w:spacing w:val="-10"/>
          <w:sz w:val="22"/>
        </w:rPr>
        <w:t> </w:t>
      </w:r>
      <w:r>
        <w:rPr>
          <w:i/>
          <w:sz w:val="22"/>
        </w:rPr>
        <w:t>Academy</w:t>
      </w:r>
      <w:r>
        <w:rPr>
          <w:i/>
          <w:spacing w:val="-3"/>
          <w:sz w:val="22"/>
        </w:rPr>
        <w:t> </w:t>
      </w:r>
      <w:r>
        <w:rPr>
          <w:i/>
          <w:sz w:val="22"/>
        </w:rPr>
        <w:t>of</w:t>
      </w:r>
      <w:r>
        <w:rPr>
          <w:i/>
          <w:sz w:val="22"/>
        </w:rPr>
        <w:t> Dermatology</w:t>
      </w:r>
      <w:r>
        <w:rPr>
          <w:sz w:val="22"/>
        </w:rPr>
        <w:t>, </w:t>
      </w:r>
      <w:r>
        <w:rPr>
          <w:i/>
          <w:sz w:val="22"/>
        </w:rPr>
        <w:t>51</w:t>
      </w:r>
      <w:r>
        <w:rPr>
          <w:sz w:val="22"/>
        </w:rPr>
        <w:t>(6), 1031-1032.</w:t>
      </w:r>
    </w:p>
    <w:p>
      <w:pPr>
        <w:pStyle w:val="BodyText"/>
        <w:spacing w:line="252" w:lineRule="exact"/>
        <w:ind w:left="239"/>
      </w:pPr>
      <w:r>
        <w:rPr/>
        <w:t>Jackson,</w:t>
      </w:r>
      <w:r>
        <w:rPr>
          <w:spacing w:val="-4"/>
        </w:rPr>
        <w:t> </w:t>
      </w:r>
      <w:r>
        <w:rPr/>
        <w:t>B.</w:t>
      </w:r>
      <w:r>
        <w:rPr>
          <w:spacing w:val="-14"/>
        </w:rPr>
        <w:t> </w:t>
      </w:r>
      <w:r>
        <w:rPr/>
        <w:t>A.</w:t>
      </w:r>
      <w:r>
        <w:rPr>
          <w:spacing w:val="-3"/>
        </w:rPr>
        <w:t> </w:t>
      </w:r>
      <w:r>
        <w:rPr/>
        <w:t>(2010).</w:t>
      </w:r>
      <w:r>
        <w:rPr>
          <w:spacing w:val="-3"/>
        </w:rPr>
        <w:t> </w:t>
      </w:r>
      <w:r>
        <w:rPr/>
        <w:t>Skin</w:t>
      </w:r>
      <w:r>
        <w:rPr>
          <w:spacing w:val="-5"/>
        </w:rPr>
        <w:t> </w:t>
      </w:r>
      <w:r>
        <w:rPr/>
        <w:t>Cancer</w:t>
      </w:r>
      <w:r>
        <w:rPr>
          <w:spacing w:val="-2"/>
        </w:rPr>
        <w:t> </w:t>
      </w:r>
      <w:r>
        <w:rPr/>
        <w:t>in</w:t>
      </w:r>
      <w:r>
        <w:rPr>
          <w:spacing w:val="-3"/>
        </w:rPr>
        <w:t> </w:t>
      </w:r>
      <w:r>
        <w:rPr/>
        <w:t>Skin</w:t>
      </w:r>
      <w:r>
        <w:rPr>
          <w:spacing w:val="-3"/>
        </w:rPr>
        <w:t> </w:t>
      </w:r>
      <w:r>
        <w:rPr/>
        <w:t>of</w:t>
      </w:r>
      <w:r>
        <w:rPr>
          <w:spacing w:val="-2"/>
        </w:rPr>
        <w:t> </w:t>
      </w:r>
      <w:r>
        <w:rPr/>
        <w:t>Color:</w:t>
      </w:r>
      <w:r>
        <w:rPr>
          <w:spacing w:val="-2"/>
        </w:rPr>
        <w:t> </w:t>
      </w:r>
      <w:r>
        <w:rPr/>
        <w:t>Springer</w:t>
      </w:r>
      <w:r>
        <w:rPr>
          <w:spacing w:val="-2"/>
        </w:rPr>
        <w:t> </w:t>
      </w:r>
      <w:r>
        <w:rPr/>
        <w:t>New</w:t>
      </w:r>
      <w:r>
        <w:rPr>
          <w:spacing w:val="-13"/>
        </w:rPr>
        <w:t> </w:t>
      </w:r>
      <w:r>
        <w:rPr>
          <w:spacing w:val="-2"/>
        </w:rPr>
        <w:t>York.</w:t>
      </w:r>
    </w:p>
    <w:p>
      <w:pPr>
        <w:pStyle w:val="BodyText"/>
        <w:ind w:left="959" w:right="600" w:hanging="721"/>
      </w:pPr>
      <w:r>
        <w:rPr/>
        <w:t>Kim,</w:t>
      </w:r>
      <w:r>
        <w:rPr>
          <w:spacing w:val="-10"/>
        </w:rPr>
        <w:t> </w:t>
      </w:r>
      <w:r>
        <w:rPr/>
        <w:t>M.,</w:t>
      </w:r>
      <w:r>
        <w:rPr>
          <w:spacing w:val="-7"/>
        </w:rPr>
        <w:t> </w:t>
      </w:r>
      <w:r>
        <w:rPr/>
        <w:t>Boone,</w:t>
      </w:r>
      <w:r>
        <w:rPr>
          <w:spacing w:val="-7"/>
        </w:rPr>
        <w:t> </w:t>
      </w:r>
      <w:r>
        <w:rPr/>
        <w:t>S.</w:t>
      </w:r>
      <w:r>
        <w:rPr>
          <w:spacing w:val="-7"/>
        </w:rPr>
        <w:t> </w:t>
      </w:r>
      <w:r>
        <w:rPr/>
        <w:t>L.,</w:t>
      </w:r>
      <w:r>
        <w:rPr>
          <w:spacing w:val="-14"/>
        </w:rPr>
        <w:t> </w:t>
      </w:r>
      <w:r>
        <w:rPr/>
        <w:t>West,</w:t>
      </w:r>
      <w:r>
        <w:rPr>
          <w:spacing w:val="-6"/>
        </w:rPr>
        <w:t> </w:t>
      </w:r>
      <w:r>
        <w:rPr/>
        <w:t>D.</w:t>
      </w:r>
      <w:r>
        <w:rPr>
          <w:spacing w:val="-7"/>
        </w:rPr>
        <w:t> </w:t>
      </w:r>
      <w:r>
        <w:rPr/>
        <w:t>P.,</w:t>
      </w:r>
      <w:r>
        <w:rPr>
          <w:spacing w:val="-7"/>
        </w:rPr>
        <w:t> </w:t>
      </w:r>
      <w:r>
        <w:rPr/>
        <w:t>Rademaker,</w:t>
      </w:r>
      <w:r>
        <w:rPr>
          <w:spacing w:val="-14"/>
        </w:rPr>
        <w:t> </w:t>
      </w:r>
      <w:r>
        <w:rPr/>
        <w:t>A.</w:t>
      </w:r>
      <w:r>
        <w:rPr>
          <w:spacing w:val="-11"/>
        </w:rPr>
        <w:t> </w:t>
      </w:r>
      <w:r>
        <w:rPr/>
        <w:t>W.,</w:t>
      </w:r>
      <w:r>
        <w:rPr>
          <w:spacing w:val="-7"/>
        </w:rPr>
        <w:t> </w:t>
      </w:r>
      <w:r>
        <w:rPr/>
        <w:t>Liu,</w:t>
      </w:r>
      <w:r>
        <w:rPr>
          <w:spacing w:val="-7"/>
        </w:rPr>
        <w:t> </w:t>
      </w:r>
      <w:r>
        <w:rPr/>
        <w:t>D.,</w:t>
      </w:r>
      <w:r>
        <w:rPr>
          <w:spacing w:val="-7"/>
        </w:rPr>
        <w:t> </w:t>
      </w:r>
      <w:r>
        <w:rPr/>
        <w:t>&amp;</w:t>
      </w:r>
      <w:r>
        <w:rPr>
          <w:spacing w:val="-8"/>
        </w:rPr>
        <w:t> </w:t>
      </w:r>
      <w:r>
        <w:rPr/>
        <w:t>Kundu,</w:t>
      </w:r>
      <w:r>
        <w:rPr>
          <w:spacing w:val="-7"/>
        </w:rPr>
        <w:t> </w:t>
      </w:r>
      <w:r>
        <w:rPr/>
        <w:t>R.</w:t>
      </w:r>
      <w:r>
        <w:rPr>
          <w:spacing w:val="-14"/>
        </w:rPr>
        <w:t> </w:t>
      </w:r>
      <w:r>
        <w:rPr/>
        <w:t>V.</w:t>
      </w:r>
      <w:r>
        <w:rPr>
          <w:spacing w:val="-6"/>
        </w:rPr>
        <w:t> </w:t>
      </w:r>
      <w:r>
        <w:rPr/>
        <w:t>(2009).</w:t>
      </w:r>
      <w:r>
        <w:rPr>
          <w:spacing w:val="-7"/>
        </w:rPr>
        <w:t> </w:t>
      </w:r>
      <w:r>
        <w:rPr/>
        <w:t>Perception</w:t>
      </w:r>
      <w:r>
        <w:rPr>
          <w:spacing w:val="-7"/>
        </w:rPr>
        <w:t> </w:t>
      </w:r>
      <w:r>
        <w:rPr/>
        <w:t>of</w:t>
      </w:r>
      <w:r>
        <w:rPr>
          <w:spacing w:val="-6"/>
        </w:rPr>
        <w:t> </w:t>
      </w:r>
      <w:r>
        <w:rPr/>
        <w:t>skin cancer risk by those with ethnic skin. </w:t>
      </w:r>
      <w:r>
        <w:rPr>
          <w:i/>
        </w:rPr>
        <w:t>Archives of Dermatology</w:t>
      </w:r>
      <w:r>
        <w:rPr/>
        <w:t>, 145(2), 207-208.</w:t>
      </w:r>
    </w:p>
    <w:p>
      <w:pPr>
        <w:pStyle w:val="BodyText"/>
        <w:ind w:left="959" w:right="600" w:hanging="720"/>
      </w:pPr>
      <w:r>
        <w:rPr/>
        <w:t>Landrine,</w:t>
      </w:r>
      <w:r>
        <w:rPr>
          <w:spacing w:val="-3"/>
        </w:rPr>
        <w:t> </w:t>
      </w:r>
      <w:r>
        <w:rPr/>
        <w:t>H.,</w:t>
      </w:r>
      <w:r>
        <w:rPr>
          <w:spacing w:val="-3"/>
        </w:rPr>
        <w:t> </w:t>
      </w:r>
      <w:r>
        <w:rPr/>
        <w:t>&amp;</w:t>
      </w:r>
      <w:r>
        <w:rPr>
          <w:spacing w:val="-5"/>
        </w:rPr>
        <w:t> </w:t>
      </w:r>
      <w:r>
        <w:rPr/>
        <w:t>Corral,</w:t>
      </w:r>
      <w:r>
        <w:rPr>
          <w:spacing w:val="-3"/>
        </w:rPr>
        <w:t> </w:t>
      </w:r>
      <w:r>
        <w:rPr/>
        <w:t>I.</w:t>
      </w:r>
      <w:r>
        <w:rPr>
          <w:spacing w:val="-3"/>
        </w:rPr>
        <w:t> </w:t>
      </w:r>
      <w:r>
        <w:rPr/>
        <w:t>(2009).</w:t>
      </w:r>
      <w:r>
        <w:rPr>
          <w:spacing w:val="-3"/>
        </w:rPr>
        <w:t> </w:t>
      </w:r>
      <w:r>
        <w:rPr/>
        <w:t>Separate</w:t>
      </w:r>
      <w:r>
        <w:rPr>
          <w:spacing w:val="-3"/>
        </w:rPr>
        <w:t> </w:t>
      </w:r>
      <w:r>
        <w:rPr/>
        <w:t>and</w:t>
      </w:r>
      <w:r>
        <w:rPr>
          <w:spacing w:val="-5"/>
        </w:rPr>
        <w:t> </w:t>
      </w:r>
      <w:r>
        <w:rPr/>
        <w:t>unequal:</w:t>
      </w:r>
      <w:r>
        <w:rPr>
          <w:spacing w:val="-2"/>
        </w:rPr>
        <w:t> </w:t>
      </w:r>
      <w:r>
        <w:rPr/>
        <w:t>Residential</w:t>
      </w:r>
      <w:r>
        <w:rPr>
          <w:spacing w:val="-2"/>
        </w:rPr>
        <w:t> </w:t>
      </w:r>
      <w:r>
        <w:rPr/>
        <w:t>segregation</w:t>
      </w:r>
      <w:r>
        <w:rPr>
          <w:spacing w:val="-5"/>
        </w:rPr>
        <w:t> </w:t>
      </w:r>
      <w:r>
        <w:rPr/>
        <w:t>and</w:t>
      </w:r>
      <w:r>
        <w:rPr>
          <w:spacing w:val="-3"/>
        </w:rPr>
        <w:t> </w:t>
      </w:r>
      <w:r>
        <w:rPr/>
        <w:t>Black</w:t>
      </w:r>
      <w:r>
        <w:rPr>
          <w:spacing w:val="-5"/>
        </w:rPr>
        <w:t> </w:t>
      </w:r>
      <w:r>
        <w:rPr/>
        <w:t>health disparities. </w:t>
      </w:r>
      <w:r>
        <w:rPr>
          <w:i/>
        </w:rPr>
        <w:t>Ethnicity and Disease</w:t>
      </w:r>
      <w:r>
        <w:rPr/>
        <w:t>, 19, 179–184.</w:t>
      </w:r>
    </w:p>
    <w:p>
      <w:pPr>
        <w:pStyle w:val="BodyText"/>
        <w:ind w:left="959" w:hanging="721"/>
      </w:pPr>
      <w:r>
        <w:rPr/>
        <w:t>Maryland</w:t>
      </w:r>
      <w:r>
        <w:rPr>
          <w:spacing w:val="-3"/>
        </w:rPr>
        <w:t> </w:t>
      </w:r>
      <w:r>
        <w:rPr/>
        <w:t>Department</w:t>
      </w:r>
      <w:r>
        <w:rPr>
          <w:spacing w:val="-2"/>
        </w:rPr>
        <w:t> </w:t>
      </w:r>
      <w:r>
        <w:rPr/>
        <w:t>of</w:t>
      </w:r>
      <w:r>
        <w:rPr>
          <w:spacing w:val="-2"/>
        </w:rPr>
        <w:t> </w:t>
      </w:r>
      <w:r>
        <w:rPr/>
        <w:t>Health</w:t>
      </w:r>
      <w:r>
        <w:rPr>
          <w:spacing w:val="-3"/>
        </w:rPr>
        <w:t> </w:t>
      </w:r>
      <w:r>
        <w:rPr/>
        <w:t>and</w:t>
      </w:r>
      <w:r>
        <w:rPr>
          <w:spacing w:val="-3"/>
        </w:rPr>
        <w:t> </w:t>
      </w:r>
      <w:r>
        <w:rPr/>
        <w:t>Mental</w:t>
      </w:r>
      <w:r>
        <w:rPr>
          <w:spacing w:val="-2"/>
        </w:rPr>
        <w:t> </w:t>
      </w:r>
      <w:r>
        <w:rPr/>
        <w:t>Hygiene.</w:t>
      </w:r>
      <w:r>
        <w:rPr>
          <w:spacing w:val="-6"/>
        </w:rPr>
        <w:t> </w:t>
      </w:r>
      <w:r>
        <w:rPr/>
        <w:t>(2010).</w:t>
      </w:r>
      <w:r>
        <w:rPr>
          <w:spacing w:val="-3"/>
        </w:rPr>
        <w:t> </w:t>
      </w:r>
      <w:r>
        <w:rPr/>
        <w:t>Cancer</w:t>
      </w:r>
      <w:r>
        <w:rPr>
          <w:spacing w:val="-5"/>
        </w:rPr>
        <w:t> </w:t>
      </w:r>
      <w:r>
        <w:rPr/>
        <w:t>report</w:t>
      </w:r>
      <w:r>
        <w:rPr>
          <w:spacing w:val="-5"/>
        </w:rPr>
        <w:t> </w:t>
      </w:r>
      <w:r>
        <w:rPr/>
        <w:t>2010.</w:t>
      </w:r>
      <w:r>
        <w:rPr>
          <w:spacing w:val="-6"/>
        </w:rPr>
        <w:t> </w:t>
      </w:r>
      <w:r>
        <w:rPr/>
        <w:t>Retrieved</w:t>
      </w:r>
      <w:r>
        <w:rPr>
          <w:spacing w:val="-3"/>
        </w:rPr>
        <w:t> </w:t>
      </w:r>
      <w:r>
        <w:rPr/>
        <w:t>from </w:t>
      </w:r>
      <w:hyperlink r:id="rId14">
        <w:r>
          <w:rPr>
            <w:spacing w:val="-2"/>
          </w:rPr>
          <w:t>http://fha.maryland.gov/pdf/cancer/CRF_Cancer_Report_2010.pdf.</w:t>
        </w:r>
      </w:hyperlink>
    </w:p>
    <w:p>
      <w:pPr>
        <w:pStyle w:val="BodyText"/>
        <w:spacing w:before="1"/>
        <w:ind w:left="959" w:right="600" w:hanging="721"/>
      </w:pPr>
      <w:r>
        <w:rPr/>
        <w:t>Nadiminti,</w:t>
      </w:r>
      <w:r>
        <w:rPr>
          <w:spacing w:val="-7"/>
        </w:rPr>
        <w:t> </w:t>
      </w:r>
      <w:r>
        <w:rPr/>
        <w:t>U.,</w:t>
      </w:r>
      <w:r>
        <w:rPr>
          <w:spacing w:val="-5"/>
        </w:rPr>
        <w:t> </w:t>
      </w:r>
      <w:r>
        <w:rPr/>
        <w:t>Rakkhit,</w:t>
      </w:r>
      <w:r>
        <w:rPr>
          <w:spacing w:val="-10"/>
        </w:rPr>
        <w:t> </w:t>
      </w:r>
      <w:r>
        <w:rPr/>
        <w:t>T.,</w:t>
      </w:r>
      <w:r>
        <w:rPr>
          <w:spacing w:val="-8"/>
        </w:rPr>
        <w:t> </w:t>
      </w:r>
      <w:r>
        <w:rPr/>
        <w:t>&amp;</w:t>
      </w:r>
      <w:r>
        <w:rPr>
          <w:spacing w:val="-11"/>
        </w:rPr>
        <w:t> </w:t>
      </w:r>
      <w:r>
        <w:rPr/>
        <w:t>Washington,</w:t>
      </w:r>
      <w:r>
        <w:rPr>
          <w:spacing w:val="-5"/>
        </w:rPr>
        <w:t> </w:t>
      </w:r>
      <w:r>
        <w:rPr/>
        <w:t>C.</w:t>
      </w:r>
      <w:r>
        <w:rPr>
          <w:spacing w:val="-5"/>
        </w:rPr>
        <w:t> </w:t>
      </w:r>
      <w:r>
        <w:rPr/>
        <w:t>(2004).</w:t>
      </w:r>
      <w:r>
        <w:rPr>
          <w:spacing w:val="-8"/>
        </w:rPr>
        <w:t> </w:t>
      </w:r>
      <w:r>
        <w:rPr/>
        <w:t>Morpheaform</w:t>
      </w:r>
      <w:r>
        <w:rPr>
          <w:spacing w:val="-9"/>
        </w:rPr>
        <w:t> </w:t>
      </w:r>
      <w:r>
        <w:rPr/>
        <w:t>Basal</w:t>
      </w:r>
      <w:r>
        <w:rPr>
          <w:spacing w:val="-4"/>
        </w:rPr>
        <w:t> </w:t>
      </w:r>
      <w:r>
        <w:rPr/>
        <w:t>Cell</w:t>
      </w:r>
      <w:r>
        <w:rPr>
          <w:spacing w:val="-4"/>
        </w:rPr>
        <w:t> </w:t>
      </w:r>
      <w:r>
        <w:rPr/>
        <w:t>Carcinoma</w:t>
      </w:r>
      <w:r>
        <w:rPr>
          <w:spacing w:val="-5"/>
        </w:rPr>
        <w:t> </w:t>
      </w:r>
      <w:r>
        <w:rPr/>
        <w:t>in</w:t>
      </w:r>
      <w:r>
        <w:rPr>
          <w:spacing w:val="-14"/>
        </w:rPr>
        <w:t> </w:t>
      </w:r>
      <w:r>
        <w:rPr/>
        <w:t>African Americans. </w:t>
      </w:r>
      <w:r>
        <w:rPr>
          <w:i/>
        </w:rPr>
        <w:t>Dermatologic Surgery</w:t>
      </w:r>
      <w:r>
        <w:rPr/>
        <w:t>, </w:t>
      </w:r>
      <w:r>
        <w:rPr>
          <w:i/>
        </w:rPr>
        <w:t>30</w:t>
      </w:r>
      <w:r>
        <w:rPr/>
        <w:t>(12p2), 1550-1552.</w:t>
      </w:r>
    </w:p>
    <w:p>
      <w:pPr>
        <w:pStyle w:val="BodyText"/>
        <w:spacing w:line="251" w:lineRule="exact"/>
        <w:ind w:left="239"/>
      </w:pPr>
      <w:r>
        <w:rPr/>
        <w:t>National</w:t>
      </w:r>
      <w:r>
        <w:rPr>
          <w:spacing w:val="-3"/>
        </w:rPr>
        <w:t> </w:t>
      </w:r>
      <w:r>
        <w:rPr/>
        <w:t>Cancer</w:t>
      </w:r>
      <w:r>
        <w:rPr>
          <w:spacing w:val="-3"/>
        </w:rPr>
        <w:t> </w:t>
      </w:r>
      <w:r>
        <w:rPr/>
        <w:t>Institute.</w:t>
      </w:r>
      <w:r>
        <w:rPr>
          <w:spacing w:val="-4"/>
        </w:rPr>
        <w:t> </w:t>
      </w:r>
      <w:r>
        <w:rPr/>
        <w:t>(2011).</w:t>
      </w:r>
      <w:r>
        <w:rPr>
          <w:spacing w:val="-8"/>
        </w:rPr>
        <w:t> </w:t>
      </w:r>
      <w:r>
        <w:rPr/>
        <w:t>What</w:t>
      </w:r>
      <w:r>
        <w:rPr>
          <w:spacing w:val="-3"/>
        </w:rPr>
        <w:t> </w:t>
      </w:r>
      <w:r>
        <w:rPr/>
        <w:t>you</w:t>
      </w:r>
      <w:r>
        <w:rPr>
          <w:spacing w:val="-3"/>
        </w:rPr>
        <w:t> </w:t>
      </w:r>
      <w:r>
        <w:rPr/>
        <w:t>need</w:t>
      </w:r>
      <w:r>
        <w:rPr>
          <w:spacing w:val="-7"/>
        </w:rPr>
        <w:t> </w:t>
      </w:r>
      <w:r>
        <w:rPr/>
        <w:t>to</w:t>
      </w:r>
      <w:r>
        <w:rPr>
          <w:spacing w:val="-4"/>
        </w:rPr>
        <w:t> </w:t>
      </w:r>
      <w:r>
        <w:rPr/>
        <w:t>know</w:t>
      </w:r>
      <w:r>
        <w:rPr>
          <w:spacing w:val="-4"/>
        </w:rPr>
        <w:t> </w:t>
      </w:r>
      <w:r>
        <w:rPr/>
        <w:t>about</w:t>
      </w:r>
      <w:r>
        <w:rPr>
          <w:spacing w:val="-3"/>
        </w:rPr>
        <w:t> </w:t>
      </w:r>
      <w:r>
        <w:rPr/>
        <w:t>melanoma</w:t>
      </w:r>
      <w:r>
        <w:rPr>
          <w:spacing w:val="-4"/>
        </w:rPr>
        <w:t> </w:t>
      </w:r>
      <w:r>
        <w:rPr/>
        <w:t>and</w:t>
      </w:r>
      <w:r>
        <w:rPr>
          <w:spacing w:val="-3"/>
        </w:rPr>
        <w:t> </w:t>
      </w:r>
      <w:r>
        <w:rPr/>
        <w:t>other</w:t>
      </w:r>
      <w:r>
        <w:rPr>
          <w:spacing w:val="-3"/>
        </w:rPr>
        <w:t> </w:t>
      </w:r>
      <w:r>
        <w:rPr/>
        <w:t>skin</w:t>
      </w:r>
      <w:r>
        <w:rPr>
          <w:spacing w:val="-6"/>
        </w:rPr>
        <w:t> </w:t>
      </w:r>
      <w:r>
        <w:rPr>
          <w:spacing w:val="-2"/>
        </w:rPr>
        <w:t>cancers.</w:t>
      </w:r>
    </w:p>
    <w:p>
      <w:pPr>
        <w:pStyle w:val="BodyText"/>
        <w:spacing w:line="252" w:lineRule="exact" w:before="1"/>
        <w:ind w:left="959"/>
      </w:pPr>
      <w:r>
        <w:rPr/>
        <w:t>Retrieved</w:t>
      </w:r>
      <w:r>
        <w:rPr>
          <w:spacing w:val="-6"/>
        </w:rPr>
        <w:t> </w:t>
      </w:r>
      <w:r>
        <w:rPr/>
        <w:t>from</w:t>
      </w:r>
      <w:r>
        <w:rPr>
          <w:spacing w:val="-6"/>
        </w:rPr>
        <w:t> </w:t>
      </w:r>
      <w:hyperlink r:id="rId15">
        <w:r>
          <w:rPr>
            <w:spacing w:val="-2"/>
          </w:rPr>
          <w:t>http://www.cancer.gov/cancertopics/wyntk/skin/page5.</w:t>
        </w:r>
      </w:hyperlink>
    </w:p>
    <w:p>
      <w:pPr>
        <w:pStyle w:val="BodyText"/>
        <w:ind w:left="959" w:right="654" w:hanging="721"/>
      </w:pPr>
      <w:r>
        <w:rPr/>
        <w:t>National Cancer Institute. (2013). Incidence rates report. Retrieved from </w:t>
      </w:r>
      <w:hyperlink r:id="rId16">
        <w:r>
          <w:rPr>
            <w:spacing w:val="-2"/>
          </w:rPr>
          <w:t>http://www.statecancerprofiles.cancer.gov/incidencerates/index.php.</w:t>
        </w:r>
      </w:hyperlink>
    </w:p>
    <w:p>
      <w:pPr>
        <w:pStyle w:val="BodyText"/>
        <w:ind w:left="239"/>
      </w:pPr>
      <w:r>
        <w:rPr/>
        <w:t>National</w:t>
      </w:r>
      <w:r>
        <w:rPr>
          <w:spacing w:val="-15"/>
        </w:rPr>
        <w:t> </w:t>
      </w:r>
      <w:r>
        <w:rPr/>
        <w:t>Oceanic</w:t>
      </w:r>
      <w:r>
        <w:rPr>
          <w:spacing w:val="-7"/>
        </w:rPr>
        <w:t> </w:t>
      </w:r>
      <w:r>
        <w:rPr/>
        <w:t>and</w:t>
      </w:r>
      <w:r>
        <w:rPr>
          <w:spacing w:val="-14"/>
        </w:rPr>
        <w:t> </w:t>
      </w:r>
      <w:r>
        <w:rPr/>
        <w:t>Atmospheric</w:t>
      </w:r>
      <w:r>
        <w:rPr>
          <w:spacing w:val="-14"/>
        </w:rPr>
        <w:t> </w:t>
      </w:r>
      <w:r>
        <w:rPr/>
        <w:t>Administration</w:t>
      </w:r>
      <w:r>
        <w:rPr>
          <w:spacing w:val="-8"/>
        </w:rPr>
        <w:t> </w:t>
      </w:r>
      <w:r>
        <w:rPr/>
        <w:t>(NOAA):</w:t>
      </w:r>
      <w:r>
        <w:rPr>
          <w:spacing w:val="-5"/>
        </w:rPr>
        <w:t> </w:t>
      </w:r>
      <w:r>
        <w:rPr/>
        <w:t>UV</w:t>
      </w:r>
      <w:r>
        <w:rPr>
          <w:spacing w:val="-9"/>
        </w:rPr>
        <w:t> </w:t>
      </w:r>
      <w:r>
        <w:rPr/>
        <w:t>Index:</w:t>
      </w:r>
      <w:r>
        <w:rPr>
          <w:spacing w:val="-14"/>
        </w:rPr>
        <w:t> </w:t>
      </w:r>
      <w:r>
        <w:rPr/>
        <w:t>Annual</w:t>
      </w:r>
      <w:r>
        <w:rPr>
          <w:spacing w:val="-11"/>
        </w:rPr>
        <w:t> </w:t>
      </w:r>
      <w:r>
        <w:rPr/>
        <w:t>Time</w:t>
      </w:r>
      <w:r>
        <w:rPr>
          <w:spacing w:val="-6"/>
        </w:rPr>
        <w:t> </w:t>
      </w:r>
      <w:r>
        <w:rPr/>
        <w:t>Series.</w:t>
      </w:r>
      <w:r>
        <w:rPr>
          <w:spacing w:val="-5"/>
        </w:rPr>
        <w:t> </w:t>
      </w:r>
      <w:r>
        <w:rPr>
          <w:spacing w:val="-2"/>
        </w:rPr>
        <w:t>(2013).</w:t>
      </w:r>
    </w:p>
    <w:p>
      <w:pPr>
        <w:pStyle w:val="BodyText"/>
        <w:spacing w:line="252" w:lineRule="exact" w:before="1"/>
        <w:ind w:left="959"/>
      </w:pPr>
      <w:r>
        <w:rPr/>
        <w:t>Retrieved</w:t>
      </w:r>
      <w:r>
        <w:rPr>
          <w:spacing w:val="-6"/>
        </w:rPr>
        <w:t> </w:t>
      </w:r>
      <w:r>
        <w:rPr/>
        <w:t>from</w:t>
      </w:r>
      <w:r>
        <w:rPr>
          <w:spacing w:val="-6"/>
        </w:rPr>
        <w:t> </w:t>
      </w:r>
      <w:hyperlink r:id="rId17">
        <w:r>
          <w:rPr>
            <w:spacing w:val="-2"/>
          </w:rPr>
          <w:t>http://www.cpc.ncep.noaa.gov/products/stratosphere/uv_index/uv_annual.shtml.</w:t>
        </w:r>
      </w:hyperlink>
    </w:p>
    <w:p>
      <w:pPr>
        <w:pStyle w:val="BodyText"/>
        <w:ind w:left="959" w:right="2323" w:hanging="721"/>
      </w:pPr>
      <w:r>
        <w:rPr/>
        <w:t>North</w:t>
      </w:r>
      <w:r>
        <w:rPr>
          <w:spacing w:val="-14"/>
        </w:rPr>
        <w:t> </w:t>
      </w:r>
      <w:r>
        <w:rPr/>
        <w:t>American</w:t>
      </w:r>
      <w:r>
        <w:rPr>
          <w:spacing w:val="-14"/>
        </w:rPr>
        <w:t> </w:t>
      </w:r>
      <w:r>
        <w:rPr/>
        <w:t>Association</w:t>
      </w:r>
      <w:r>
        <w:rPr>
          <w:spacing w:val="-7"/>
        </w:rPr>
        <w:t> </w:t>
      </w:r>
      <w:r>
        <w:rPr/>
        <w:t>of</w:t>
      </w:r>
      <w:r>
        <w:rPr>
          <w:spacing w:val="-4"/>
        </w:rPr>
        <w:t> </w:t>
      </w:r>
      <w:r>
        <w:rPr/>
        <w:t>Central</w:t>
      </w:r>
      <w:r>
        <w:rPr>
          <w:spacing w:val="-4"/>
        </w:rPr>
        <w:t> </w:t>
      </w:r>
      <w:r>
        <w:rPr/>
        <w:t>Cancer</w:t>
      </w:r>
      <w:r>
        <w:rPr>
          <w:spacing w:val="-4"/>
        </w:rPr>
        <w:t> </w:t>
      </w:r>
      <w:r>
        <w:rPr/>
        <w:t>Registries.</w:t>
      </w:r>
      <w:r>
        <w:rPr>
          <w:spacing w:val="-7"/>
        </w:rPr>
        <w:t> </w:t>
      </w:r>
      <w:r>
        <w:rPr/>
        <w:t>(2011).</w:t>
      </w:r>
      <w:r>
        <w:rPr>
          <w:spacing w:val="-5"/>
        </w:rPr>
        <w:t> </w:t>
      </w:r>
      <w:r>
        <w:rPr/>
        <w:t>NAACCR</w:t>
      </w:r>
      <w:r>
        <w:rPr>
          <w:spacing w:val="-6"/>
        </w:rPr>
        <w:t> </w:t>
      </w:r>
      <w:r>
        <w:rPr/>
        <w:t>fast</w:t>
      </w:r>
      <w:r>
        <w:rPr>
          <w:spacing w:val="-6"/>
        </w:rPr>
        <w:t> </w:t>
      </w:r>
      <w:r>
        <w:rPr/>
        <w:t>stats 2005-2009 cancer incidence data. Retrieved from </w:t>
      </w:r>
      <w:hyperlink r:id="rId18">
        <w:r>
          <w:rPr>
            <w:spacing w:val="-2"/>
          </w:rPr>
          <w:t>http://faststats.naaccr.org/selections.php?#Output.</w:t>
        </w:r>
      </w:hyperlink>
    </w:p>
    <w:p>
      <w:pPr>
        <w:spacing w:before="0"/>
        <w:ind w:left="959" w:right="875" w:hanging="721"/>
        <w:jc w:val="both"/>
        <w:rPr>
          <w:sz w:val="22"/>
        </w:rPr>
      </w:pPr>
      <w:r>
        <w:rPr>
          <w:sz w:val="22"/>
        </w:rPr>
        <w:t>Pichon,</w:t>
      </w:r>
      <w:r>
        <w:rPr>
          <w:spacing w:val="-7"/>
          <w:sz w:val="22"/>
        </w:rPr>
        <w:t> </w:t>
      </w:r>
      <w:r>
        <w:rPr>
          <w:sz w:val="22"/>
        </w:rPr>
        <w:t>L.</w:t>
      </w:r>
      <w:r>
        <w:rPr>
          <w:spacing w:val="-4"/>
          <w:sz w:val="22"/>
        </w:rPr>
        <w:t> </w:t>
      </w:r>
      <w:r>
        <w:rPr>
          <w:sz w:val="22"/>
        </w:rPr>
        <w:t>C.</w:t>
      </w:r>
      <w:r>
        <w:rPr>
          <w:spacing w:val="-4"/>
          <w:sz w:val="22"/>
        </w:rPr>
        <w:t> </w:t>
      </w:r>
      <w:r>
        <w:rPr>
          <w:sz w:val="22"/>
        </w:rPr>
        <w:t>(2009).</w:t>
      </w:r>
      <w:r>
        <w:rPr>
          <w:spacing w:val="-4"/>
          <w:sz w:val="22"/>
        </w:rPr>
        <w:t> </w:t>
      </w:r>
      <w:r>
        <w:rPr>
          <w:i/>
          <w:sz w:val="22"/>
        </w:rPr>
        <w:t>Prevalence</w:t>
      </w:r>
      <w:r>
        <w:rPr>
          <w:i/>
          <w:spacing w:val="-4"/>
          <w:sz w:val="22"/>
        </w:rPr>
        <w:t> </w:t>
      </w:r>
      <w:r>
        <w:rPr>
          <w:i/>
          <w:sz w:val="22"/>
        </w:rPr>
        <w:t>and</w:t>
      </w:r>
      <w:r>
        <w:rPr>
          <w:i/>
          <w:spacing w:val="-7"/>
          <w:sz w:val="22"/>
        </w:rPr>
        <w:t> </w:t>
      </w:r>
      <w:r>
        <w:rPr>
          <w:i/>
          <w:sz w:val="22"/>
        </w:rPr>
        <w:t>correlates</w:t>
      </w:r>
      <w:r>
        <w:rPr>
          <w:i/>
          <w:spacing w:val="-4"/>
          <w:sz w:val="22"/>
        </w:rPr>
        <w:t> </w:t>
      </w:r>
      <w:r>
        <w:rPr>
          <w:i/>
          <w:sz w:val="22"/>
        </w:rPr>
        <w:t>of</w:t>
      </w:r>
      <w:r>
        <w:rPr>
          <w:i/>
          <w:spacing w:val="-3"/>
          <w:sz w:val="22"/>
        </w:rPr>
        <w:t> </w:t>
      </w:r>
      <w:r>
        <w:rPr>
          <w:i/>
          <w:sz w:val="22"/>
        </w:rPr>
        <w:t>sun</w:t>
      </w:r>
      <w:r>
        <w:rPr>
          <w:i/>
          <w:spacing w:val="-9"/>
          <w:sz w:val="22"/>
        </w:rPr>
        <w:t> </w:t>
      </w:r>
      <w:r>
        <w:rPr>
          <w:i/>
          <w:sz w:val="22"/>
        </w:rPr>
        <w:t>protection</w:t>
      </w:r>
      <w:r>
        <w:rPr>
          <w:i/>
          <w:spacing w:val="-4"/>
          <w:sz w:val="22"/>
        </w:rPr>
        <w:t> </w:t>
      </w:r>
      <w:r>
        <w:rPr>
          <w:i/>
          <w:sz w:val="22"/>
        </w:rPr>
        <w:t>behaviors</w:t>
      </w:r>
      <w:r>
        <w:rPr>
          <w:i/>
          <w:spacing w:val="-4"/>
          <w:sz w:val="22"/>
        </w:rPr>
        <w:t> </w:t>
      </w:r>
      <w:r>
        <w:rPr>
          <w:i/>
          <w:sz w:val="22"/>
        </w:rPr>
        <w:t>among</w:t>
      </w:r>
      <w:r>
        <w:rPr>
          <w:i/>
          <w:spacing w:val="-9"/>
          <w:sz w:val="22"/>
        </w:rPr>
        <w:t> </w:t>
      </w:r>
      <w:r>
        <w:rPr>
          <w:i/>
          <w:sz w:val="22"/>
        </w:rPr>
        <w:t>African</w:t>
      </w:r>
      <w:r>
        <w:rPr>
          <w:i/>
          <w:spacing w:val="-9"/>
          <w:sz w:val="22"/>
        </w:rPr>
        <w:t> </w:t>
      </w:r>
      <w:r>
        <w:rPr>
          <w:i/>
          <w:sz w:val="22"/>
        </w:rPr>
        <w:t>Americans</w:t>
      </w:r>
      <w:r>
        <w:rPr>
          <w:i/>
          <w:sz w:val="22"/>
        </w:rPr>
        <w:t> </w:t>
      </w:r>
      <w:r>
        <w:rPr>
          <w:sz w:val="22"/>
        </w:rPr>
        <w:t>(Doctoral Dissertation)</w:t>
      </w:r>
      <w:r>
        <w:rPr>
          <w:i/>
          <w:sz w:val="22"/>
        </w:rPr>
        <w:t>. </w:t>
      </w:r>
      <w:r>
        <w:rPr>
          <w:sz w:val="22"/>
        </w:rPr>
        <w:t>Retrieved</w:t>
      </w:r>
      <w:r>
        <w:rPr>
          <w:spacing w:val="-1"/>
          <w:sz w:val="22"/>
        </w:rPr>
        <w:t> </w:t>
      </w:r>
      <w:r>
        <w:rPr>
          <w:sz w:val="22"/>
        </w:rPr>
        <w:t>from</w:t>
      </w:r>
      <w:r>
        <w:rPr>
          <w:spacing w:val="-2"/>
          <w:sz w:val="22"/>
        </w:rPr>
        <w:t> </w:t>
      </w:r>
      <w:r>
        <w:rPr>
          <w:sz w:val="22"/>
        </w:rPr>
        <w:t>ProQuest Dissertation and</w:t>
      </w:r>
      <w:r>
        <w:rPr>
          <w:spacing w:val="-6"/>
          <w:sz w:val="22"/>
        </w:rPr>
        <w:t> </w:t>
      </w:r>
      <w:r>
        <w:rPr>
          <w:sz w:val="22"/>
        </w:rPr>
        <w:t>Thesis database.</w:t>
      </w:r>
      <w:r>
        <w:rPr>
          <w:spacing w:val="-1"/>
          <w:sz w:val="22"/>
        </w:rPr>
        <w:t> </w:t>
      </w:r>
      <w:r>
        <w:rPr>
          <w:sz w:val="22"/>
        </w:rPr>
        <w:t>(UMI</w:t>
      </w:r>
      <w:r>
        <w:rPr>
          <w:spacing w:val="-2"/>
          <w:sz w:val="22"/>
        </w:rPr>
        <w:t> </w:t>
      </w:r>
      <w:r>
        <w:rPr>
          <w:sz w:val="22"/>
        </w:rPr>
        <w:t>No. </w:t>
      </w:r>
      <w:r>
        <w:rPr>
          <w:spacing w:val="-2"/>
          <w:sz w:val="22"/>
        </w:rPr>
        <w:t>3316169).</w:t>
      </w:r>
    </w:p>
    <w:p>
      <w:pPr>
        <w:pStyle w:val="BodyText"/>
        <w:ind w:left="959" w:right="804" w:hanging="721"/>
      </w:pPr>
      <w:r>
        <w:rPr/>
        <w:t>Pichon,</w:t>
      </w:r>
      <w:r>
        <w:rPr>
          <w:spacing w:val="-7"/>
        </w:rPr>
        <w:t> </w:t>
      </w:r>
      <w:r>
        <w:rPr/>
        <w:t>L.</w:t>
      </w:r>
      <w:r>
        <w:rPr>
          <w:spacing w:val="-3"/>
        </w:rPr>
        <w:t> </w:t>
      </w:r>
      <w:r>
        <w:rPr/>
        <w:t>C.,</w:t>
      </w:r>
      <w:r>
        <w:rPr>
          <w:spacing w:val="-3"/>
        </w:rPr>
        <w:t> </w:t>
      </w:r>
      <w:r>
        <w:rPr/>
        <w:t>Corral,</w:t>
      </w:r>
      <w:r>
        <w:rPr>
          <w:spacing w:val="-3"/>
        </w:rPr>
        <w:t> </w:t>
      </w:r>
      <w:r>
        <w:rPr/>
        <w:t>I.,</w:t>
      </w:r>
      <w:r>
        <w:rPr>
          <w:spacing w:val="-3"/>
        </w:rPr>
        <w:t> </w:t>
      </w:r>
      <w:r>
        <w:rPr/>
        <w:t>Landrine,</w:t>
      </w:r>
      <w:r>
        <w:rPr>
          <w:spacing w:val="-3"/>
        </w:rPr>
        <w:t> </w:t>
      </w:r>
      <w:r>
        <w:rPr/>
        <w:t>H.,</w:t>
      </w:r>
      <w:r>
        <w:rPr>
          <w:spacing w:val="-3"/>
        </w:rPr>
        <w:t> </w:t>
      </w:r>
      <w:r>
        <w:rPr/>
        <w:t>Mayer,</w:t>
      </w:r>
      <w:r>
        <w:rPr>
          <w:spacing w:val="-5"/>
        </w:rPr>
        <w:t> </w:t>
      </w:r>
      <w:r>
        <w:rPr/>
        <w:t>J.</w:t>
      </w:r>
      <w:r>
        <w:rPr>
          <w:spacing w:val="-14"/>
        </w:rPr>
        <w:t> </w:t>
      </w:r>
      <w:r>
        <w:rPr/>
        <w:t>A.,</w:t>
      </w:r>
      <w:r>
        <w:rPr>
          <w:spacing w:val="-2"/>
        </w:rPr>
        <w:t> </w:t>
      </w:r>
      <w:r>
        <w:rPr/>
        <w:t>&amp;</w:t>
      </w:r>
      <w:r>
        <w:rPr>
          <w:spacing w:val="-16"/>
        </w:rPr>
        <w:t> </w:t>
      </w:r>
      <w:r>
        <w:rPr/>
        <w:t>Adams-Simms,</w:t>
      </w:r>
      <w:r>
        <w:rPr>
          <w:spacing w:val="-3"/>
        </w:rPr>
        <w:t> </w:t>
      </w:r>
      <w:r>
        <w:rPr/>
        <w:t>D.</w:t>
      </w:r>
      <w:r>
        <w:rPr>
          <w:spacing w:val="-3"/>
        </w:rPr>
        <w:t> </w:t>
      </w:r>
      <w:r>
        <w:rPr/>
        <w:t>(2010).</w:t>
      </w:r>
      <w:r>
        <w:rPr>
          <w:spacing w:val="-5"/>
        </w:rPr>
        <w:t> </w:t>
      </w:r>
      <w:r>
        <w:rPr/>
        <w:t>Perceived</w:t>
      </w:r>
      <w:r>
        <w:rPr>
          <w:spacing w:val="-3"/>
        </w:rPr>
        <w:t> </w:t>
      </w:r>
      <w:r>
        <w:rPr/>
        <w:t>skin</w:t>
      </w:r>
      <w:r>
        <w:rPr>
          <w:spacing w:val="-3"/>
        </w:rPr>
        <w:t> </w:t>
      </w:r>
      <w:r>
        <w:rPr/>
        <w:t>cancer risk and sunscreen use among</w:t>
      </w:r>
      <w:r>
        <w:rPr>
          <w:spacing w:val="-6"/>
        </w:rPr>
        <w:t> </w:t>
      </w:r>
      <w:r>
        <w:rPr/>
        <w:t>African</w:t>
      </w:r>
      <w:r>
        <w:rPr>
          <w:spacing w:val="-2"/>
        </w:rPr>
        <w:t> </w:t>
      </w:r>
      <w:r>
        <w:rPr/>
        <w:t>American adults. </w:t>
      </w:r>
      <w:r>
        <w:rPr>
          <w:i/>
        </w:rPr>
        <w:t>Journal of Health Psychology</w:t>
      </w:r>
      <w:r>
        <w:rPr/>
        <w:t>, </w:t>
      </w:r>
      <w:r>
        <w:rPr>
          <w:i/>
        </w:rPr>
        <w:t>15</w:t>
      </w:r>
      <w:r>
        <w:rPr/>
        <w:t>(8), </w:t>
      </w:r>
      <w:r>
        <w:rPr>
          <w:spacing w:val="-2"/>
        </w:rPr>
        <w:t>1181-1189.</w:t>
      </w:r>
    </w:p>
    <w:p>
      <w:pPr>
        <w:spacing w:before="0"/>
        <w:ind w:left="959" w:right="654" w:hanging="721"/>
        <w:jc w:val="left"/>
        <w:rPr>
          <w:sz w:val="22"/>
        </w:rPr>
      </w:pPr>
      <w:r>
        <w:rPr>
          <w:sz w:val="22"/>
        </w:rPr>
        <w:t>Pichon,</w:t>
      </w:r>
      <w:r>
        <w:rPr>
          <w:spacing w:val="-5"/>
          <w:sz w:val="22"/>
        </w:rPr>
        <w:t> </w:t>
      </w:r>
      <w:r>
        <w:rPr>
          <w:sz w:val="22"/>
        </w:rPr>
        <w:t>L.</w:t>
      </w:r>
      <w:r>
        <w:rPr>
          <w:spacing w:val="-2"/>
          <w:sz w:val="22"/>
        </w:rPr>
        <w:t> </w:t>
      </w:r>
      <w:r>
        <w:rPr>
          <w:sz w:val="22"/>
        </w:rPr>
        <w:t>C.,</w:t>
      </w:r>
      <w:r>
        <w:rPr>
          <w:spacing w:val="-2"/>
          <w:sz w:val="22"/>
        </w:rPr>
        <w:t> </w:t>
      </w:r>
      <w:r>
        <w:rPr>
          <w:sz w:val="22"/>
        </w:rPr>
        <w:t>Corral,</w:t>
      </w:r>
      <w:r>
        <w:rPr>
          <w:spacing w:val="-2"/>
          <w:sz w:val="22"/>
        </w:rPr>
        <w:t> </w:t>
      </w:r>
      <w:r>
        <w:rPr>
          <w:sz w:val="22"/>
        </w:rPr>
        <w:t>I.,</w:t>
      </w:r>
      <w:r>
        <w:rPr>
          <w:spacing w:val="-2"/>
          <w:sz w:val="22"/>
        </w:rPr>
        <w:t> </w:t>
      </w:r>
      <w:r>
        <w:rPr>
          <w:sz w:val="22"/>
        </w:rPr>
        <w:t>Landrine,</w:t>
      </w:r>
      <w:r>
        <w:rPr>
          <w:spacing w:val="-2"/>
          <w:sz w:val="22"/>
        </w:rPr>
        <w:t> </w:t>
      </w:r>
      <w:r>
        <w:rPr>
          <w:sz w:val="22"/>
        </w:rPr>
        <w:t>H.,</w:t>
      </w:r>
      <w:r>
        <w:rPr>
          <w:spacing w:val="-2"/>
          <w:sz w:val="22"/>
        </w:rPr>
        <w:t> </w:t>
      </w:r>
      <w:r>
        <w:rPr>
          <w:sz w:val="22"/>
        </w:rPr>
        <w:t>Mayer,</w:t>
      </w:r>
      <w:r>
        <w:rPr>
          <w:spacing w:val="-5"/>
          <w:sz w:val="22"/>
        </w:rPr>
        <w:t> </w:t>
      </w:r>
      <w:r>
        <w:rPr>
          <w:sz w:val="22"/>
        </w:rPr>
        <w:t>J.</w:t>
      </w:r>
      <w:r>
        <w:rPr>
          <w:spacing w:val="-14"/>
          <w:sz w:val="22"/>
        </w:rPr>
        <w:t> </w:t>
      </w:r>
      <w:r>
        <w:rPr>
          <w:sz w:val="22"/>
        </w:rPr>
        <w:t>A.,</w:t>
      </w:r>
      <w:r>
        <w:rPr>
          <w:spacing w:val="-2"/>
          <w:sz w:val="22"/>
        </w:rPr>
        <w:t> </w:t>
      </w:r>
      <w:r>
        <w:rPr>
          <w:sz w:val="22"/>
        </w:rPr>
        <w:t>&amp;</w:t>
      </w:r>
      <w:r>
        <w:rPr>
          <w:spacing w:val="-6"/>
          <w:sz w:val="22"/>
        </w:rPr>
        <w:t> </w:t>
      </w:r>
      <w:r>
        <w:rPr>
          <w:sz w:val="22"/>
        </w:rPr>
        <w:t>Norman,</w:t>
      </w:r>
      <w:r>
        <w:rPr>
          <w:spacing w:val="-2"/>
          <w:sz w:val="22"/>
        </w:rPr>
        <w:t> </w:t>
      </w:r>
      <w:r>
        <w:rPr>
          <w:sz w:val="22"/>
        </w:rPr>
        <w:t>G.</w:t>
      </w:r>
      <w:r>
        <w:rPr>
          <w:spacing w:val="-2"/>
          <w:sz w:val="22"/>
        </w:rPr>
        <w:t> </w:t>
      </w:r>
      <w:r>
        <w:rPr>
          <w:sz w:val="22"/>
        </w:rPr>
        <w:t>J.</w:t>
      </w:r>
      <w:r>
        <w:rPr>
          <w:spacing w:val="-5"/>
          <w:sz w:val="22"/>
        </w:rPr>
        <w:t> </w:t>
      </w:r>
      <w:r>
        <w:rPr>
          <w:sz w:val="22"/>
        </w:rPr>
        <w:t>(2010).</w:t>
      </w:r>
      <w:r>
        <w:rPr>
          <w:spacing w:val="-2"/>
          <w:sz w:val="22"/>
        </w:rPr>
        <w:t> </w:t>
      </w:r>
      <w:r>
        <w:rPr>
          <w:sz w:val="22"/>
        </w:rPr>
        <w:t>Sun-protection</w:t>
      </w:r>
      <w:r>
        <w:rPr>
          <w:spacing w:val="-5"/>
          <w:sz w:val="22"/>
        </w:rPr>
        <w:t> </w:t>
      </w:r>
      <w:r>
        <w:rPr>
          <w:sz w:val="22"/>
        </w:rPr>
        <w:t>behaviors among</w:t>
      </w:r>
      <w:r>
        <w:rPr>
          <w:spacing w:val="-4"/>
          <w:sz w:val="22"/>
        </w:rPr>
        <w:t> </w:t>
      </w:r>
      <w:r>
        <w:rPr>
          <w:sz w:val="22"/>
        </w:rPr>
        <w:t>African Americans. </w:t>
      </w:r>
      <w:r>
        <w:rPr>
          <w:i/>
          <w:sz w:val="22"/>
        </w:rPr>
        <w:t>American Journal of Preventive Medicine</w:t>
      </w:r>
      <w:r>
        <w:rPr>
          <w:sz w:val="22"/>
        </w:rPr>
        <w:t>, </w:t>
      </w:r>
      <w:r>
        <w:rPr>
          <w:i/>
          <w:sz w:val="22"/>
        </w:rPr>
        <w:t>38</w:t>
      </w:r>
      <w:r>
        <w:rPr>
          <w:sz w:val="22"/>
        </w:rPr>
        <w:t>(3), 288-295.</w:t>
      </w:r>
    </w:p>
    <w:p>
      <w:pPr>
        <w:pStyle w:val="BodyText"/>
        <w:spacing w:line="242" w:lineRule="auto"/>
        <w:ind w:left="959" w:right="600" w:hanging="720"/>
      </w:pPr>
      <w:r>
        <w:rPr/>
        <w:t>Qureshi,</w:t>
      </w:r>
      <w:r>
        <w:rPr>
          <w:spacing w:val="-14"/>
        </w:rPr>
        <w:t> </w:t>
      </w:r>
      <w:r>
        <w:rPr/>
        <w:t>A.</w:t>
      </w:r>
      <w:r>
        <w:rPr>
          <w:spacing w:val="-14"/>
        </w:rPr>
        <w:t> </w:t>
      </w:r>
      <w:r>
        <w:rPr/>
        <w:t>A.,</w:t>
      </w:r>
      <w:r>
        <w:rPr>
          <w:spacing w:val="-3"/>
        </w:rPr>
        <w:t> </w:t>
      </w:r>
      <w:r>
        <w:rPr/>
        <w:t>Laden,</w:t>
      </w:r>
      <w:r>
        <w:rPr>
          <w:spacing w:val="-6"/>
        </w:rPr>
        <w:t> </w:t>
      </w:r>
      <w:r>
        <w:rPr/>
        <w:t>F.,</w:t>
      </w:r>
      <w:r>
        <w:rPr>
          <w:spacing w:val="-3"/>
        </w:rPr>
        <w:t> </w:t>
      </w:r>
      <w:r>
        <w:rPr/>
        <w:t>Colditz,</w:t>
      </w:r>
      <w:r>
        <w:rPr>
          <w:spacing w:val="-3"/>
        </w:rPr>
        <w:t> </w:t>
      </w:r>
      <w:r>
        <w:rPr/>
        <w:t>G.</w:t>
      </w:r>
      <w:r>
        <w:rPr>
          <w:spacing w:val="-14"/>
        </w:rPr>
        <w:t> </w:t>
      </w:r>
      <w:r>
        <w:rPr/>
        <w:t>A.,</w:t>
      </w:r>
      <w:r>
        <w:rPr>
          <w:spacing w:val="-3"/>
        </w:rPr>
        <w:t> </w:t>
      </w:r>
      <w:r>
        <w:rPr/>
        <w:t>&amp;</w:t>
      </w:r>
      <w:r>
        <w:rPr>
          <w:spacing w:val="-5"/>
        </w:rPr>
        <w:t> </w:t>
      </w:r>
      <w:r>
        <w:rPr/>
        <w:t>Hunter,</w:t>
      </w:r>
      <w:r>
        <w:rPr>
          <w:spacing w:val="-3"/>
        </w:rPr>
        <w:t> </w:t>
      </w:r>
      <w:r>
        <w:rPr/>
        <w:t>D.</w:t>
      </w:r>
      <w:r>
        <w:rPr>
          <w:spacing w:val="-6"/>
        </w:rPr>
        <w:t> </w:t>
      </w:r>
      <w:r>
        <w:rPr/>
        <w:t>J.</w:t>
      </w:r>
      <w:r>
        <w:rPr>
          <w:spacing w:val="-6"/>
        </w:rPr>
        <w:t> </w:t>
      </w:r>
      <w:r>
        <w:rPr/>
        <w:t>(2008).</w:t>
      </w:r>
      <w:r>
        <w:rPr>
          <w:spacing w:val="-3"/>
        </w:rPr>
        <w:t> </w:t>
      </w:r>
      <w:r>
        <w:rPr/>
        <w:t>Geographic</w:t>
      </w:r>
      <w:r>
        <w:rPr>
          <w:spacing w:val="-3"/>
        </w:rPr>
        <w:t> </w:t>
      </w:r>
      <w:r>
        <w:rPr/>
        <w:t>variation</w:t>
      </w:r>
      <w:r>
        <w:rPr>
          <w:spacing w:val="-6"/>
        </w:rPr>
        <w:t> </w:t>
      </w:r>
      <w:r>
        <w:rPr/>
        <w:t>and</w:t>
      </w:r>
      <w:r>
        <w:rPr>
          <w:spacing w:val="-6"/>
        </w:rPr>
        <w:t> </w:t>
      </w:r>
      <w:r>
        <w:rPr/>
        <w:t>risk</w:t>
      </w:r>
      <w:r>
        <w:rPr>
          <w:spacing w:val="-6"/>
        </w:rPr>
        <w:t> </w:t>
      </w:r>
      <w:r>
        <w:rPr/>
        <w:t>of</w:t>
      </w:r>
      <w:r>
        <w:rPr>
          <w:spacing w:val="-2"/>
        </w:rPr>
        <w:t> </w:t>
      </w:r>
      <w:r>
        <w:rPr/>
        <w:t>skin cancer in U.S. women. </w:t>
      </w:r>
      <w:r>
        <w:rPr>
          <w:i/>
        </w:rPr>
        <w:t>Archives of Internal Medicine</w:t>
      </w:r>
      <w:r>
        <w:rPr/>
        <w:t>, </w:t>
      </w:r>
      <w:r>
        <w:rPr>
          <w:i/>
        </w:rPr>
        <w:t>168</w:t>
      </w:r>
      <w:r>
        <w:rPr/>
        <w:t>(5), 501-507.</w:t>
      </w:r>
    </w:p>
    <w:p>
      <w:pPr>
        <w:pStyle w:val="BodyText"/>
        <w:spacing w:line="242" w:lineRule="auto"/>
        <w:ind w:left="958" w:right="654" w:hanging="721"/>
      </w:pPr>
      <w:r>
        <w:rPr/>
        <w:t>Rouhani,</w:t>
      </w:r>
      <w:r>
        <w:rPr>
          <w:spacing w:val="-9"/>
        </w:rPr>
        <w:t> </w:t>
      </w:r>
      <w:r>
        <w:rPr/>
        <w:t>P.,</w:t>
      </w:r>
      <w:r>
        <w:rPr>
          <w:spacing w:val="-4"/>
        </w:rPr>
        <w:t> </w:t>
      </w:r>
      <w:r>
        <w:rPr/>
        <w:t>Hu,</w:t>
      </w:r>
      <w:r>
        <w:rPr>
          <w:spacing w:val="-4"/>
        </w:rPr>
        <w:t> </w:t>
      </w:r>
      <w:r>
        <w:rPr/>
        <w:t>S.,</w:t>
      </w:r>
      <w:r>
        <w:rPr>
          <w:spacing w:val="-4"/>
        </w:rPr>
        <w:t> </w:t>
      </w:r>
      <w:r>
        <w:rPr/>
        <w:t>&amp;</w:t>
      </w:r>
      <w:r>
        <w:rPr>
          <w:spacing w:val="-8"/>
        </w:rPr>
        <w:t> </w:t>
      </w:r>
      <w:r>
        <w:rPr/>
        <w:t>Kirsner,</w:t>
      </w:r>
      <w:r>
        <w:rPr>
          <w:spacing w:val="-4"/>
        </w:rPr>
        <w:t> </w:t>
      </w:r>
      <w:r>
        <w:rPr/>
        <w:t>R.</w:t>
      </w:r>
      <w:r>
        <w:rPr>
          <w:spacing w:val="-4"/>
        </w:rPr>
        <w:t> </w:t>
      </w:r>
      <w:r>
        <w:rPr/>
        <w:t>S.</w:t>
      </w:r>
      <w:r>
        <w:rPr>
          <w:spacing w:val="-4"/>
        </w:rPr>
        <w:t> </w:t>
      </w:r>
      <w:r>
        <w:rPr/>
        <w:t>(2008).</w:t>
      </w:r>
      <w:r>
        <w:rPr>
          <w:spacing w:val="-4"/>
        </w:rPr>
        <w:t> </w:t>
      </w:r>
      <w:r>
        <w:rPr/>
        <w:t>Melanoma</w:t>
      </w:r>
      <w:r>
        <w:rPr>
          <w:spacing w:val="-4"/>
        </w:rPr>
        <w:t> </w:t>
      </w:r>
      <w:r>
        <w:rPr/>
        <w:t>in</w:t>
      </w:r>
      <w:r>
        <w:rPr>
          <w:spacing w:val="-4"/>
        </w:rPr>
        <w:t> </w:t>
      </w:r>
      <w:r>
        <w:rPr/>
        <w:t>Hispanic</w:t>
      </w:r>
      <w:r>
        <w:rPr>
          <w:spacing w:val="-6"/>
        </w:rPr>
        <w:t> </w:t>
      </w:r>
      <w:r>
        <w:rPr/>
        <w:t>and</w:t>
      </w:r>
      <w:r>
        <w:rPr>
          <w:spacing w:val="-4"/>
        </w:rPr>
        <w:t> </w:t>
      </w:r>
      <w:r>
        <w:rPr/>
        <w:t>Black</w:t>
      </w:r>
      <w:r>
        <w:rPr>
          <w:spacing w:val="-15"/>
        </w:rPr>
        <w:t> </w:t>
      </w:r>
      <w:r>
        <w:rPr/>
        <w:t>Americans.</w:t>
      </w:r>
      <w:r>
        <w:rPr>
          <w:spacing w:val="-4"/>
        </w:rPr>
        <w:t> </w:t>
      </w:r>
      <w:r>
        <w:rPr>
          <w:i/>
        </w:rPr>
        <w:t>Cancer</w:t>
      </w:r>
      <w:r>
        <w:rPr>
          <w:i/>
        </w:rPr>
        <w:t> Control, 15</w:t>
      </w:r>
      <w:r>
        <w:rPr/>
        <w:t>(3), 248-253.</w:t>
      </w:r>
    </w:p>
    <w:p>
      <w:pPr>
        <w:spacing w:line="240" w:lineRule="auto" w:before="0"/>
        <w:ind w:left="958" w:right="654" w:hanging="721"/>
        <w:jc w:val="left"/>
        <w:rPr>
          <w:sz w:val="22"/>
        </w:rPr>
      </w:pPr>
      <w:r>
        <w:rPr>
          <w:sz w:val="22"/>
        </w:rPr>
        <w:t>Shoo,</w:t>
      </w:r>
      <w:r>
        <w:rPr>
          <w:spacing w:val="-2"/>
          <w:sz w:val="22"/>
        </w:rPr>
        <w:t> </w:t>
      </w:r>
      <w:r>
        <w:rPr>
          <w:sz w:val="22"/>
        </w:rPr>
        <w:t>B.</w:t>
      </w:r>
      <w:r>
        <w:rPr>
          <w:spacing w:val="-14"/>
          <w:sz w:val="22"/>
        </w:rPr>
        <w:t> </w:t>
      </w:r>
      <w:r>
        <w:rPr>
          <w:sz w:val="22"/>
        </w:rPr>
        <w:t>A.,</w:t>
      </w:r>
      <w:r>
        <w:rPr>
          <w:spacing w:val="-2"/>
          <w:sz w:val="22"/>
        </w:rPr>
        <w:t> </w:t>
      </w:r>
      <w:r>
        <w:rPr>
          <w:sz w:val="22"/>
        </w:rPr>
        <w:t>&amp;</w:t>
      </w:r>
      <w:r>
        <w:rPr>
          <w:spacing w:val="-4"/>
          <w:sz w:val="22"/>
        </w:rPr>
        <w:t> </w:t>
      </w:r>
      <w:r>
        <w:rPr>
          <w:sz w:val="22"/>
        </w:rPr>
        <w:t>Kashani-Sabet,</w:t>
      </w:r>
      <w:r>
        <w:rPr>
          <w:spacing w:val="-5"/>
          <w:sz w:val="22"/>
        </w:rPr>
        <w:t> </w:t>
      </w:r>
      <w:r>
        <w:rPr>
          <w:sz w:val="22"/>
        </w:rPr>
        <w:t>M.</w:t>
      </w:r>
      <w:r>
        <w:rPr>
          <w:spacing w:val="-2"/>
          <w:sz w:val="22"/>
        </w:rPr>
        <w:t> </w:t>
      </w:r>
      <w:r>
        <w:rPr>
          <w:sz w:val="22"/>
        </w:rPr>
        <w:t>(2009).</w:t>
      </w:r>
      <w:r>
        <w:rPr>
          <w:spacing w:val="-5"/>
          <w:sz w:val="22"/>
        </w:rPr>
        <w:t> </w:t>
      </w:r>
      <w:r>
        <w:rPr>
          <w:sz w:val="22"/>
        </w:rPr>
        <w:t>Melanoma</w:t>
      </w:r>
      <w:r>
        <w:rPr>
          <w:spacing w:val="-2"/>
          <w:sz w:val="22"/>
        </w:rPr>
        <w:t> </w:t>
      </w:r>
      <w:r>
        <w:rPr>
          <w:sz w:val="22"/>
        </w:rPr>
        <w:t>arising</w:t>
      </w:r>
      <w:r>
        <w:rPr>
          <w:spacing w:val="-5"/>
          <w:sz w:val="22"/>
        </w:rPr>
        <w:t> </w:t>
      </w:r>
      <w:r>
        <w:rPr>
          <w:sz w:val="22"/>
        </w:rPr>
        <w:t>in</w:t>
      </w:r>
      <w:r>
        <w:rPr>
          <w:spacing w:val="-14"/>
          <w:sz w:val="22"/>
        </w:rPr>
        <w:t> </w:t>
      </w:r>
      <w:r>
        <w:rPr>
          <w:sz w:val="22"/>
        </w:rPr>
        <w:t>African-,</w:t>
      </w:r>
      <w:r>
        <w:rPr>
          <w:spacing w:val="-13"/>
          <w:sz w:val="22"/>
        </w:rPr>
        <w:t> </w:t>
      </w:r>
      <w:r>
        <w:rPr>
          <w:sz w:val="22"/>
        </w:rPr>
        <w:t>Asian-,</w:t>
      </w:r>
      <w:r>
        <w:rPr>
          <w:spacing w:val="-2"/>
          <w:sz w:val="22"/>
        </w:rPr>
        <w:t> </w:t>
      </w:r>
      <w:r>
        <w:rPr>
          <w:sz w:val="22"/>
        </w:rPr>
        <w:t>Latino-</w:t>
      </w:r>
      <w:r>
        <w:rPr>
          <w:spacing w:val="-6"/>
          <w:sz w:val="22"/>
        </w:rPr>
        <w:t> </w:t>
      </w:r>
      <w:r>
        <w:rPr>
          <w:sz w:val="22"/>
        </w:rPr>
        <w:t>and</w:t>
      </w:r>
      <w:r>
        <w:rPr>
          <w:spacing w:val="-2"/>
          <w:sz w:val="22"/>
        </w:rPr>
        <w:t> </w:t>
      </w:r>
      <w:r>
        <w:rPr>
          <w:sz w:val="22"/>
        </w:rPr>
        <w:t>Native- American populations. </w:t>
      </w:r>
      <w:r>
        <w:rPr>
          <w:i/>
          <w:sz w:val="22"/>
        </w:rPr>
        <w:t>Seminars in Cutaneous Medicine and Surgery</w:t>
      </w:r>
      <w:r>
        <w:rPr>
          <w:sz w:val="22"/>
        </w:rPr>
        <w:t>, </w:t>
      </w:r>
      <w:r>
        <w:rPr>
          <w:i/>
          <w:sz w:val="22"/>
        </w:rPr>
        <w:t>28</w:t>
      </w:r>
      <w:r>
        <w:rPr>
          <w:sz w:val="22"/>
        </w:rPr>
        <w:t>(2), 96-102.</w:t>
      </w:r>
    </w:p>
    <w:p>
      <w:pPr>
        <w:pStyle w:val="BodyText"/>
        <w:ind w:left="958" w:right="1111" w:hanging="721"/>
      </w:pPr>
      <w:r>
        <w:rPr/>
        <w:t>Skin</w:t>
      </w:r>
      <w:r>
        <w:rPr>
          <w:spacing w:val="-7"/>
        </w:rPr>
        <w:t> </w:t>
      </w:r>
      <w:r>
        <w:rPr/>
        <w:t>Cancer</w:t>
      </w:r>
      <w:r>
        <w:rPr>
          <w:spacing w:val="-6"/>
        </w:rPr>
        <w:t> </w:t>
      </w:r>
      <w:r>
        <w:rPr/>
        <w:t>Foundation.</w:t>
      </w:r>
      <w:r>
        <w:rPr>
          <w:spacing w:val="-7"/>
        </w:rPr>
        <w:t> </w:t>
      </w:r>
      <w:r>
        <w:rPr/>
        <w:t>(2010).</w:t>
      </w:r>
      <w:r>
        <w:rPr>
          <w:spacing w:val="-7"/>
        </w:rPr>
        <w:t> </w:t>
      </w:r>
      <w:r>
        <w:rPr/>
        <w:t>Skin</w:t>
      </w:r>
      <w:r>
        <w:rPr>
          <w:spacing w:val="-7"/>
        </w:rPr>
        <w:t> </w:t>
      </w:r>
      <w:r>
        <w:rPr/>
        <w:t>cancer</w:t>
      </w:r>
      <w:r>
        <w:rPr>
          <w:spacing w:val="-8"/>
        </w:rPr>
        <w:t> </w:t>
      </w:r>
      <w:r>
        <w:rPr/>
        <w:t>facts.</w:t>
      </w:r>
      <w:r>
        <w:rPr>
          <w:spacing w:val="-7"/>
        </w:rPr>
        <w:t> </w:t>
      </w:r>
      <w:r>
        <w:rPr/>
        <w:t>Retrieved</w:t>
      </w:r>
      <w:r>
        <w:rPr>
          <w:spacing w:val="-9"/>
        </w:rPr>
        <w:t> </w:t>
      </w:r>
      <w:r>
        <w:rPr/>
        <w:t>from</w:t>
      </w:r>
      <w:r>
        <w:rPr>
          <w:spacing w:val="-10"/>
        </w:rPr>
        <w:t> </w:t>
      </w:r>
      <w:hyperlink r:id="rId19">
        <w:r>
          <w:rPr/>
          <w:t>http://www.skincancer.org/Skin-</w:t>
        </w:r>
      </w:hyperlink>
      <w:r>
        <w:rPr/>
        <w:t> </w:t>
      </w:r>
      <w:r>
        <w:rPr>
          <w:spacing w:val="-2"/>
        </w:rPr>
        <w:t>Cancer-Facts/.</w:t>
      </w:r>
    </w:p>
    <w:p>
      <w:pPr>
        <w:pStyle w:val="BodyText"/>
        <w:ind w:left="958" w:right="654" w:hanging="721"/>
      </w:pPr>
      <w:r>
        <w:rPr/>
        <w:t>Spradlin,</w:t>
      </w:r>
      <w:r>
        <w:rPr>
          <w:spacing w:val="-7"/>
        </w:rPr>
        <w:t> </w:t>
      </w:r>
      <w:r>
        <w:rPr/>
        <w:t>K.,</w:t>
      </w:r>
      <w:r>
        <w:rPr>
          <w:spacing w:val="-7"/>
        </w:rPr>
        <w:t> </w:t>
      </w:r>
      <w:r>
        <w:rPr/>
        <w:t>Bass,</w:t>
      </w:r>
      <w:r>
        <w:rPr>
          <w:spacing w:val="-7"/>
        </w:rPr>
        <w:t> </w:t>
      </w:r>
      <w:r>
        <w:rPr/>
        <w:t>M.,</w:t>
      </w:r>
      <w:r>
        <w:rPr>
          <w:spacing w:val="-4"/>
        </w:rPr>
        <w:t> </w:t>
      </w:r>
      <w:r>
        <w:rPr/>
        <w:t>Hyman,</w:t>
      </w:r>
      <w:r>
        <w:rPr>
          <w:spacing w:val="-9"/>
        </w:rPr>
        <w:t> </w:t>
      </w:r>
      <w:r>
        <w:rPr/>
        <w:t>W.,</w:t>
      </w:r>
      <w:r>
        <w:rPr>
          <w:spacing w:val="-4"/>
        </w:rPr>
        <w:t> </w:t>
      </w:r>
      <w:r>
        <w:rPr/>
        <w:t>&amp;</w:t>
      </w:r>
      <w:r>
        <w:rPr>
          <w:spacing w:val="-6"/>
        </w:rPr>
        <w:t> </w:t>
      </w:r>
      <w:r>
        <w:rPr/>
        <w:t>Keathley,</w:t>
      </w:r>
      <w:r>
        <w:rPr>
          <w:spacing w:val="-4"/>
        </w:rPr>
        <w:t> </w:t>
      </w:r>
      <w:r>
        <w:rPr/>
        <w:t>R.</w:t>
      </w:r>
      <w:r>
        <w:rPr>
          <w:spacing w:val="-4"/>
        </w:rPr>
        <w:t> </w:t>
      </w:r>
      <w:r>
        <w:rPr/>
        <w:t>(2010).</w:t>
      </w:r>
      <w:r>
        <w:rPr>
          <w:spacing w:val="-4"/>
        </w:rPr>
        <w:t> </w:t>
      </w:r>
      <w:r>
        <w:rPr/>
        <w:t>Skin</w:t>
      </w:r>
      <w:r>
        <w:rPr>
          <w:spacing w:val="-4"/>
        </w:rPr>
        <w:t> </w:t>
      </w:r>
      <w:r>
        <w:rPr/>
        <w:t>cancer:</w:t>
      </w:r>
      <w:r>
        <w:rPr>
          <w:spacing w:val="-6"/>
        </w:rPr>
        <w:t> </w:t>
      </w:r>
      <w:r>
        <w:rPr/>
        <w:t>Knowledge,</w:t>
      </w:r>
      <w:r>
        <w:rPr>
          <w:spacing w:val="-4"/>
        </w:rPr>
        <w:t> </w:t>
      </w:r>
      <w:r>
        <w:rPr/>
        <w:t>behaviors,</w:t>
      </w:r>
      <w:r>
        <w:rPr>
          <w:spacing w:val="-7"/>
        </w:rPr>
        <w:t> </w:t>
      </w:r>
      <w:r>
        <w:rPr/>
        <w:t>and attitudes of college students. </w:t>
      </w:r>
      <w:r>
        <w:rPr>
          <w:i/>
        </w:rPr>
        <w:t>Southern Medical Journal</w:t>
      </w:r>
      <w:r>
        <w:rPr/>
        <w:t>, </w:t>
      </w:r>
      <w:r>
        <w:rPr>
          <w:i/>
        </w:rPr>
        <w:t>103</w:t>
      </w:r>
      <w:r>
        <w:rPr/>
        <w:t>(10), 999-1003.</w:t>
      </w:r>
    </w:p>
    <w:p>
      <w:pPr>
        <w:pStyle w:val="BodyText"/>
        <w:spacing w:line="242" w:lineRule="auto"/>
        <w:ind w:left="958" w:right="600" w:hanging="720"/>
      </w:pPr>
      <w:r>
        <w:rPr/>
        <w:t>U.S.</w:t>
      </w:r>
      <w:r>
        <w:rPr>
          <w:spacing w:val="-2"/>
        </w:rPr>
        <w:t> </w:t>
      </w:r>
      <w:r>
        <w:rPr/>
        <w:t>Department</w:t>
      </w:r>
      <w:r>
        <w:rPr>
          <w:spacing w:val="-1"/>
        </w:rPr>
        <w:t> </w:t>
      </w:r>
      <w:r>
        <w:rPr/>
        <w:t>of</w:t>
      </w:r>
      <w:r>
        <w:rPr>
          <w:spacing w:val="-1"/>
        </w:rPr>
        <w:t> </w:t>
      </w:r>
      <w:r>
        <w:rPr/>
        <w:t>Health</w:t>
      </w:r>
      <w:r>
        <w:rPr>
          <w:spacing w:val="-5"/>
        </w:rPr>
        <w:t> </w:t>
      </w:r>
      <w:r>
        <w:rPr/>
        <w:t>and</w:t>
      </w:r>
      <w:r>
        <w:rPr>
          <w:spacing w:val="-2"/>
        </w:rPr>
        <w:t> </w:t>
      </w:r>
      <w:r>
        <w:rPr/>
        <w:t>Human</w:t>
      </w:r>
      <w:r>
        <w:rPr>
          <w:spacing w:val="-2"/>
        </w:rPr>
        <w:t> </w:t>
      </w:r>
      <w:r>
        <w:rPr/>
        <w:t>Services.</w:t>
      </w:r>
      <w:r>
        <w:rPr>
          <w:spacing w:val="-5"/>
        </w:rPr>
        <w:t> </w:t>
      </w:r>
      <w:r>
        <w:rPr/>
        <w:t>(1983).</w:t>
      </w:r>
      <w:r>
        <w:rPr>
          <w:spacing w:val="-2"/>
        </w:rPr>
        <w:t> </w:t>
      </w:r>
      <w:r>
        <w:rPr/>
        <w:t>Incidence</w:t>
      </w:r>
      <w:r>
        <w:rPr>
          <w:spacing w:val="-4"/>
        </w:rPr>
        <w:t> </w:t>
      </w:r>
      <w:r>
        <w:rPr/>
        <w:t>of</w:t>
      </w:r>
      <w:r>
        <w:rPr>
          <w:spacing w:val="-1"/>
        </w:rPr>
        <w:t> </w:t>
      </w:r>
      <w:r>
        <w:rPr/>
        <w:t>nonmelanoma</w:t>
      </w:r>
      <w:r>
        <w:rPr>
          <w:spacing w:val="-2"/>
        </w:rPr>
        <w:t> </w:t>
      </w:r>
      <w:r>
        <w:rPr/>
        <w:t>skin</w:t>
      </w:r>
      <w:r>
        <w:rPr>
          <w:spacing w:val="-2"/>
        </w:rPr>
        <w:t> </w:t>
      </w:r>
      <w:r>
        <w:rPr/>
        <w:t>cancer</w:t>
      </w:r>
      <w:r>
        <w:rPr>
          <w:spacing w:val="-4"/>
        </w:rPr>
        <w:t> </w:t>
      </w:r>
      <w:r>
        <w:rPr/>
        <w:t>in</w:t>
      </w:r>
      <w:r>
        <w:rPr>
          <w:spacing w:val="-5"/>
        </w:rPr>
        <w:t> </w:t>
      </w:r>
      <w:r>
        <w:rPr/>
        <w:t>the United States. Retrieved from </w:t>
      </w:r>
      <w:hyperlink r:id="rId20">
        <w:r>
          <w:rPr/>
          <w:t>http://www.ciesin.columbia.edu/docs/001-526/001-526.html.</w:t>
        </w:r>
      </w:hyperlink>
    </w:p>
    <w:p>
      <w:pPr>
        <w:pStyle w:val="BodyText"/>
        <w:spacing w:line="248" w:lineRule="exact"/>
        <w:ind w:left="238"/>
      </w:pPr>
      <w:r>
        <w:rPr>
          <w:spacing w:val="-2"/>
        </w:rPr>
        <w:t>Visit</w:t>
      </w:r>
      <w:r>
        <w:rPr>
          <w:spacing w:val="5"/>
        </w:rPr>
        <w:t> </w:t>
      </w:r>
      <w:r>
        <w:rPr>
          <w:spacing w:val="-2"/>
        </w:rPr>
        <w:t>California.</w:t>
      </w:r>
      <w:r>
        <w:rPr>
          <w:spacing w:val="7"/>
        </w:rPr>
        <w:t> </w:t>
      </w:r>
      <w:r>
        <w:rPr>
          <w:spacing w:val="-2"/>
        </w:rPr>
        <w:t>(2011).Weather.</w:t>
      </w:r>
      <w:r>
        <w:rPr>
          <w:spacing w:val="6"/>
        </w:rPr>
        <w:t> </w:t>
      </w:r>
      <w:r>
        <w:rPr>
          <w:spacing w:val="-2"/>
        </w:rPr>
        <w:t>Retrieved</w:t>
      </w:r>
      <w:r>
        <w:rPr>
          <w:spacing w:val="7"/>
        </w:rPr>
        <w:t> </w:t>
      </w:r>
      <w:r>
        <w:rPr>
          <w:spacing w:val="-2"/>
        </w:rPr>
        <w:t>from</w:t>
      </w:r>
      <w:r>
        <w:rPr>
          <w:spacing w:val="2"/>
        </w:rPr>
        <w:t> </w:t>
      </w:r>
      <w:hyperlink r:id="rId21">
        <w:r>
          <w:rPr>
            <w:spacing w:val="-2"/>
          </w:rPr>
          <w:t>http://www.visitcalifornia.com/Travel-Tools/Weather.</w:t>
        </w:r>
      </w:hyperlink>
    </w:p>
    <w:p>
      <w:pPr>
        <w:pStyle w:val="BodyText"/>
        <w:ind w:left="958" w:right="654" w:hanging="721"/>
      </w:pPr>
      <w:r>
        <w:rPr/>
        <w:t>Visit Maryland. (2011).</w:t>
      </w:r>
      <w:r>
        <w:rPr>
          <w:spacing w:val="-3"/>
        </w:rPr>
        <w:t> </w:t>
      </w:r>
      <w:r>
        <w:rPr/>
        <w:t>All about Maryland: Facts. Retrieved from </w:t>
      </w:r>
      <w:hyperlink r:id="rId22">
        <w:r>
          <w:rPr>
            <w:spacing w:val="-2"/>
          </w:rPr>
          <w:t>http://visitmaryland.org/ALLABOUTMD/Pages/Facts.aspx.</w:t>
        </w:r>
      </w:hyperlink>
    </w:p>
    <w:p>
      <w:pPr>
        <w:pStyle w:val="BodyText"/>
        <w:ind w:left="958" w:right="460" w:hanging="720"/>
      </w:pPr>
      <w:r>
        <w:rPr/>
        <w:t>Waster,</w:t>
      </w:r>
      <w:r>
        <w:rPr>
          <w:spacing w:val="-6"/>
        </w:rPr>
        <w:t> </w:t>
      </w:r>
      <w:r>
        <w:rPr/>
        <w:t>P.</w:t>
      </w:r>
      <w:r>
        <w:rPr>
          <w:spacing w:val="-8"/>
        </w:rPr>
        <w:t> </w:t>
      </w:r>
      <w:r>
        <w:rPr/>
        <w:t>K.,</w:t>
      </w:r>
      <w:r>
        <w:rPr>
          <w:spacing w:val="-6"/>
        </w:rPr>
        <w:t> </w:t>
      </w:r>
      <w:r>
        <w:rPr/>
        <w:t>&amp;</w:t>
      </w:r>
      <w:r>
        <w:rPr>
          <w:spacing w:val="-8"/>
        </w:rPr>
        <w:t> </w:t>
      </w:r>
      <w:r>
        <w:rPr/>
        <w:t>Ollinger,</w:t>
      </w:r>
      <w:r>
        <w:rPr>
          <w:spacing w:val="-8"/>
        </w:rPr>
        <w:t> </w:t>
      </w:r>
      <w:r>
        <w:rPr/>
        <w:t>K.</w:t>
      </w:r>
      <w:r>
        <w:rPr>
          <w:spacing w:val="-6"/>
        </w:rPr>
        <w:t> </w:t>
      </w:r>
      <w:r>
        <w:rPr/>
        <w:t>M.</w:t>
      </w:r>
      <w:r>
        <w:rPr>
          <w:spacing w:val="-6"/>
        </w:rPr>
        <w:t> </w:t>
      </w:r>
      <w:r>
        <w:rPr/>
        <w:t>(2009).</w:t>
      </w:r>
      <w:r>
        <w:rPr>
          <w:spacing w:val="-6"/>
        </w:rPr>
        <w:t> </w:t>
      </w:r>
      <w:r>
        <w:rPr/>
        <w:t>Redox-dependent</w:t>
      </w:r>
      <w:r>
        <w:rPr>
          <w:spacing w:val="-8"/>
        </w:rPr>
        <w:t> </w:t>
      </w:r>
      <w:r>
        <w:rPr/>
        <w:t>translocation</w:t>
      </w:r>
      <w:r>
        <w:rPr>
          <w:spacing w:val="-6"/>
        </w:rPr>
        <w:t> </w:t>
      </w:r>
      <w:r>
        <w:rPr/>
        <w:t>of</w:t>
      </w:r>
      <w:r>
        <w:rPr>
          <w:spacing w:val="-8"/>
        </w:rPr>
        <w:t> </w:t>
      </w:r>
      <w:r>
        <w:rPr/>
        <w:t>p53</w:t>
      </w:r>
      <w:r>
        <w:rPr>
          <w:spacing w:val="-8"/>
        </w:rPr>
        <w:t> </w:t>
      </w:r>
      <w:r>
        <w:rPr/>
        <w:t>to</w:t>
      </w:r>
      <w:r>
        <w:rPr>
          <w:spacing w:val="-8"/>
        </w:rPr>
        <w:t> </w:t>
      </w:r>
      <w:r>
        <w:rPr/>
        <w:t>mitochondria</w:t>
      </w:r>
      <w:r>
        <w:rPr>
          <w:spacing w:val="-8"/>
        </w:rPr>
        <w:t> </w:t>
      </w:r>
      <w:r>
        <w:rPr/>
        <w:t>or</w:t>
      </w:r>
      <w:r>
        <w:rPr>
          <w:spacing w:val="-5"/>
        </w:rPr>
        <w:t> </w:t>
      </w:r>
      <w:r>
        <w:rPr/>
        <w:t>nucleus in human melanocytes after UVA- and UVB-induced apoptosis. </w:t>
      </w:r>
      <w:r>
        <w:rPr>
          <w:i/>
        </w:rPr>
        <w:t>Journal of Investigative</w:t>
      </w:r>
      <w:r>
        <w:rPr>
          <w:i/>
        </w:rPr>
        <w:t> Dermatology</w:t>
      </w:r>
      <w:r>
        <w:rPr/>
        <w:t>, 129(7), 1769-1781.</w:t>
      </w:r>
    </w:p>
    <w:p>
      <w:pPr>
        <w:pStyle w:val="BodyText"/>
        <w:ind w:left="958" w:right="654" w:hanging="721"/>
      </w:pPr>
      <w:r>
        <w:rPr/>
        <w:t>Wich,</w:t>
      </w:r>
      <w:r>
        <w:rPr>
          <w:spacing w:val="-5"/>
        </w:rPr>
        <w:t> </w:t>
      </w:r>
      <w:r>
        <w:rPr/>
        <w:t>L.</w:t>
      </w:r>
      <w:r>
        <w:rPr>
          <w:spacing w:val="-4"/>
        </w:rPr>
        <w:t> </w:t>
      </w:r>
      <w:r>
        <w:rPr/>
        <w:t>G.,</w:t>
      </w:r>
      <w:r>
        <w:rPr>
          <w:spacing w:val="-7"/>
        </w:rPr>
        <w:t> </w:t>
      </w:r>
      <w:r>
        <w:rPr/>
        <w:t>Ma,</w:t>
      </w:r>
      <w:r>
        <w:rPr>
          <w:spacing w:val="-7"/>
        </w:rPr>
        <w:t> </w:t>
      </w:r>
      <w:r>
        <w:rPr/>
        <w:t>M.</w:t>
      </w:r>
      <w:r>
        <w:rPr>
          <w:spacing w:val="-11"/>
        </w:rPr>
        <w:t> </w:t>
      </w:r>
      <w:r>
        <w:rPr/>
        <w:t>W.,</w:t>
      </w:r>
      <w:r>
        <w:rPr>
          <w:spacing w:val="-4"/>
        </w:rPr>
        <w:t> </w:t>
      </w:r>
      <w:r>
        <w:rPr/>
        <w:t>Price,</w:t>
      </w:r>
      <w:r>
        <w:rPr>
          <w:spacing w:val="-4"/>
        </w:rPr>
        <w:t> </w:t>
      </w:r>
      <w:r>
        <w:rPr/>
        <w:t>L.</w:t>
      </w:r>
      <w:r>
        <w:rPr>
          <w:spacing w:val="-4"/>
        </w:rPr>
        <w:t> </w:t>
      </w:r>
      <w:r>
        <w:rPr/>
        <w:t>S.,</w:t>
      </w:r>
      <w:r>
        <w:rPr>
          <w:spacing w:val="-4"/>
        </w:rPr>
        <w:t> </w:t>
      </w:r>
      <w:r>
        <w:rPr/>
        <w:t>Sidash,</w:t>
      </w:r>
      <w:r>
        <w:rPr>
          <w:spacing w:val="-4"/>
        </w:rPr>
        <w:t> </w:t>
      </w:r>
      <w:r>
        <w:rPr/>
        <w:t>S.,</w:t>
      </w:r>
      <w:r>
        <w:rPr>
          <w:spacing w:val="-4"/>
        </w:rPr>
        <w:t> </w:t>
      </w:r>
      <w:r>
        <w:rPr/>
        <w:t>Berman,</w:t>
      </w:r>
      <w:r>
        <w:rPr>
          <w:spacing w:val="-4"/>
        </w:rPr>
        <w:t> </w:t>
      </w:r>
      <w:r>
        <w:rPr/>
        <w:t>R.</w:t>
      </w:r>
      <w:r>
        <w:rPr>
          <w:spacing w:val="-4"/>
        </w:rPr>
        <w:t> </w:t>
      </w:r>
      <w:r>
        <w:rPr/>
        <w:t>S.,</w:t>
      </w:r>
      <w:r>
        <w:rPr>
          <w:spacing w:val="-4"/>
        </w:rPr>
        <w:t> </w:t>
      </w:r>
      <w:r>
        <w:rPr/>
        <w:t>Pavlick,</w:t>
      </w:r>
      <w:r>
        <w:rPr>
          <w:spacing w:val="-14"/>
        </w:rPr>
        <w:t> </w:t>
      </w:r>
      <w:r>
        <w:rPr/>
        <w:t>A.</w:t>
      </w:r>
      <w:r>
        <w:rPr>
          <w:spacing w:val="-4"/>
        </w:rPr>
        <w:t> </w:t>
      </w:r>
      <w:r>
        <w:rPr/>
        <w:t>C…Osman,</w:t>
      </w:r>
      <w:r>
        <w:rPr>
          <w:spacing w:val="-2"/>
        </w:rPr>
        <w:t> </w:t>
      </w:r>
      <w:r>
        <w:rPr/>
        <w:t>I.</w:t>
      </w:r>
      <w:r>
        <w:rPr>
          <w:spacing w:val="-4"/>
        </w:rPr>
        <w:t> </w:t>
      </w:r>
      <w:r>
        <w:rPr/>
        <w:t>(2011).</w:t>
      </w:r>
      <w:r>
        <w:rPr>
          <w:spacing w:val="-4"/>
        </w:rPr>
        <w:t> </w:t>
      </w:r>
      <w:r>
        <w:rPr/>
        <w:t>Impact of socioeconomic status and sociodemographic factors on melanoma presentation among ethnic minorities. </w:t>
      </w:r>
      <w:r>
        <w:rPr>
          <w:i/>
        </w:rPr>
        <w:t>Journal of Community Health</w:t>
      </w:r>
      <w:r>
        <w:rPr/>
        <w:t>, 36, 461-468.</w:t>
      </w:r>
    </w:p>
    <w:p>
      <w:pPr>
        <w:pStyle w:val="BodyText"/>
        <w:ind w:left="958" w:right="463" w:hanging="721"/>
      </w:pPr>
      <w:r>
        <w:rPr/>
        <w:t>World</w:t>
      </w:r>
      <w:r>
        <w:rPr>
          <w:spacing w:val="-5"/>
        </w:rPr>
        <w:t> </w:t>
      </w:r>
      <w:r>
        <w:rPr/>
        <w:t>Health</w:t>
      </w:r>
      <w:r>
        <w:rPr>
          <w:spacing w:val="-5"/>
        </w:rPr>
        <w:t> </w:t>
      </w:r>
      <w:r>
        <w:rPr/>
        <w:t>Organization:</w:t>
      </w:r>
      <w:r>
        <w:rPr>
          <w:spacing w:val="-7"/>
        </w:rPr>
        <w:t> </w:t>
      </w:r>
      <w:r>
        <w:rPr/>
        <w:t>Ultraviolet</w:t>
      </w:r>
      <w:r>
        <w:rPr>
          <w:spacing w:val="-7"/>
        </w:rPr>
        <w:t> </w:t>
      </w:r>
      <w:r>
        <w:rPr/>
        <w:t>radiation</w:t>
      </w:r>
      <w:r>
        <w:rPr>
          <w:spacing w:val="-8"/>
        </w:rPr>
        <w:t> </w:t>
      </w:r>
      <w:r>
        <w:rPr/>
        <w:t>and</w:t>
      </w:r>
      <w:r>
        <w:rPr>
          <w:spacing w:val="-8"/>
        </w:rPr>
        <w:t> </w:t>
      </w:r>
      <w:r>
        <w:rPr/>
        <w:t>the</w:t>
      </w:r>
      <w:r>
        <w:rPr>
          <w:spacing w:val="-5"/>
        </w:rPr>
        <w:t> </w:t>
      </w:r>
      <w:r>
        <w:rPr/>
        <w:t>INTERSUN</w:t>
      </w:r>
      <w:r>
        <w:rPr>
          <w:spacing w:val="-6"/>
        </w:rPr>
        <w:t> </w:t>
      </w:r>
      <w:r>
        <w:rPr/>
        <w:t>Programme.</w:t>
      </w:r>
      <w:r>
        <w:rPr>
          <w:spacing w:val="-5"/>
        </w:rPr>
        <w:t> </w:t>
      </w:r>
      <w:r>
        <w:rPr/>
        <w:t>(2013).</w:t>
      </w:r>
      <w:r>
        <w:rPr>
          <w:spacing w:val="-5"/>
        </w:rPr>
        <w:t> </w:t>
      </w:r>
      <w:r>
        <w:rPr/>
        <w:t>Retrieved</w:t>
      </w:r>
      <w:r>
        <w:rPr>
          <w:spacing w:val="-5"/>
        </w:rPr>
        <w:t> </w:t>
      </w:r>
      <w:r>
        <w:rPr/>
        <w:t>from </w:t>
      </w:r>
      <w:hyperlink r:id="rId23">
        <w:r>
          <w:rPr>
            <w:spacing w:val="-2"/>
          </w:rPr>
          <w:t>http://www.who.int/uv/intersunprogramme/activities/uv_index/en/index3.html.</w:t>
        </w:r>
      </w:hyperlink>
    </w:p>
    <w:p>
      <w:pPr>
        <w:spacing w:after="0"/>
        <w:sectPr>
          <w:pgSz w:w="12240" w:h="15840"/>
          <w:pgMar w:header="699" w:footer="1070" w:top="1340" w:bottom="1260" w:left="1200" w:right="880"/>
        </w:sectPr>
      </w:pPr>
    </w:p>
    <w:p>
      <w:pPr>
        <w:pStyle w:val="BodyText"/>
        <w:spacing w:before="84"/>
        <w:ind w:left="240"/>
      </w:pPr>
      <w:r>
        <w:rPr/>
        <w:t>World</w:t>
      </w:r>
      <w:r>
        <w:rPr>
          <w:spacing w:val="-14"/>
        </w:rPr>
        <w:t> </w:t>
      </w:r>
      <w:r>
        <w:rPr/>
        <w:t>Atlas.</w:t>
      </w:r>
      <w:r>
        <w:rPr>
          <w:spacing w:val="-14"/>
        </w:rPr>
        <w:t> </w:t>
      </w:r>
      <w:r>
        <w:rPr/>
        <w:t>(2013).</w:t>
      </w:r>
      <w:r>
        <w:rPr>
          <w:spacing w:val="-14"/>
        </w:rPr>
        <w:t> </w:t>
      </w:r>
      <w:r>
        <w:rPr/>
        <w:t>Retrieved</w:t>
      </w:r>
      <w:r>
        <w:rPr>
          <w:spacing w:val="-13"/>
        </w:rPr>
        <w:t> </w:t>
      </w:r>
      <w:r>
        <w:rPr/>
        <w:t>from</w:t>
      </w:r>
      <w:r>
        <w:rPr>
          <w:spacing w:val="-14"/>
        </w:rPr>
        <w:t> </w:t>
      </w:r>
      <w:hyperlink r:id="rId24">
        <w:r>
          <w:rPr/>
          <w:t>http://www.worldatlas.com/webimage/countrys/namerica/us.htm.</w:t>
        </w:r>
      </w:hyperlink>
      <w:r>
        <w:rPr/>
        <w:t> Yamaguchi,</w:t>
      </w:r>
      <w:r>
        <w:rPr>
          <w:spacing w:val="-5"/>
        </w:rPr>
        <w:t> </w:t>
      </w:r>
      <w:r>
        <w:rPr/>
        <w:t>Y., Beer, J. Z., &amp; Hearing,</w:t>
      </w:r>
      <w:r>
        <w:rPr>
          <w:spacing w:val="-2"/>
        </w:rPr>
        <w:t> </w:t>
      </w:r>
      <w:r>
        <w:rPr/>
        <w:t>V. J. (2007). Melanin Mediated</w:t>
      </w:r>
      <w:r>
        <w:rPr>
          <w:spacing w:val="-10"/>
        </w:rPr>
        <w:t> </w:t>
      </w:r>
      <w:r>
        <w:rPr/>
        <w:t>Apoptosis of Epidermal Cells</w:t>
      </w:r>
    </w:p>
    <w:p>
      <w:pPr>
        <w:spacing w:before="0"/>
        <w:ind w:left="960" w:right="0" w:firstLine="0"/>
        <w:jc w:val="left"/>
        <w:rPr>
          <w:sz w:val="22"/>
        </w:rPr>
      </w:pPr>
      <w:r>
        <w:rPr>
          <w:sz w:val="22"/>
        </w:rPr>
        <w:t>Damaged</w:t>
      </w:r>
      <w:r>
        <w:rPr>
          <w:spacing w:val="-5"/>
          <w:sz w:val="22"/>
        </w:rPr>
        <w:t> </w:t>
      </w:r>
      <w:r>
        <w:rPr>
          <w:sz w:val="22"/>
        </w:rPr>
        <w:t>by</w:t>
      </w:r>
      <w:r>
        <w:rPr>
          <w:spacing w:val="-7"/>
          <w:sz w:val="22"/>
        </w:rPr>
        <w:t> </w:t>
      </w:r>
      <w:r>
        <w:rPr>
          <w:sz w:val="22"/>
        </w:rPr>
        <w:t>Ultraviolet</w:t>
      </w:r>
      <w:r>
        <w:rPr>
          <w:spacing w:val="-4"/>
          <w:sz w:val="22"/>
        </w:rPr>
        <w:t> </w:t>
      </w:r>
      <w:r>
        <w:rPr>
          <w:sz w:val="22"/>
        </w:rPr>
        <w:t>Radiation:</w:t>
      </w:r>
      <w:r>
        <w:rPr>
          <w:spacing w:val="-4"/>
          <w:sz w:val="22"/>
        </w:rPr>
        <w:t> </w:t>
      </w:r>
      <w:r>
        <w:rPr>
          <w:sz w:val="22"/>
        </w:rPr>
        <w:t>Factors</w:t>
      </w:r>
      <w:r>
        <w:rPr>
          <w:spacing w:val="-5"/>
          <w:sz w:val="22"/>
        </w:rPr>
        <w:t> </w:t>
      </w:r>
      <w:r>
        <w:rPr>
          <w:sz w:val="22"/>
        </w:rPr>
        <w:t>Influencing</w:t>
      </w:r>
      <w:r>
        <w:rPr>
          <w:spacing w:val="-9"/>
          <w:sz w:val="22"/>
        </w:rPr>
        <w:t> </w:t>
      </w:r>
      <w:r>
        <w:rPr>
          <w:sz w:val="22"/>
        </w:rPr>
        <w:t>the</w:t>
      </w:r>
      <w:r>
        <w:rPr>
          <w:spacing w:val="-5"/>
          <w:sz w:val="22"/>
        </w:rPr>
        <w:t> </w:t>
      </w:r>
      <w:r>
        <w:rPr>
          <w:sz w:val="22"/>
        </w:rPr>
        <w:t>Incidence</w:t>
      </w:r>
      <w:r>
        <w:rPr>
          <w:spacing w:val="-5"/>
          <w:sz w:val="22"/>
        </w:rPr>
        <w:t> </w:t>
      </w:r>
      <w:r>
        <w:rPr>
          <w:sz w:val="22"/>
        </w:rPr>
        <w:t>of</w:t>
      </w:r>
      <w:r>
        <w:rPr>
          <w:spacing w:val="-4"/>
          <w:sz w:val="22"/>
        </w:rPr>
        <w:t> </w:t>
      </w:r>
      <w:r>
        <w:rPr>
          <w:sz w:val="22"/>
        </w:rPr>
        <w:t>Skin</w:t>
      </w:r>
      <w:r>
        <w:rPr>
          <w:spacing w:val="-5"/>
          <w:sz w:val="22"/>
        </w:rPr>
        <w:t> </w:t>
      </w:r>
      <w:r>
        <w:rPr>
          <w:sz w:val="22"/>
        </w:rPr>
        <w:t>Cancer.</w:t>
      </w:r>
      <w:r>
        <w:rPr>
          <w:spacing w:val="-5"/>
          <w:sz w:val="22"/>
        </w:rPr>
        <w:t> </w:t>
      </w:r>
      <w:r>
        <w:rPr>
          <w:i/>
          <w:sz w:val="22"/>
        </w:rPr>
        <w:t>Archives</w:t>
      </w:r>
      <w:r>
        <w:rPr>
          <w:i/>
          <w:spacing w:val="-5"/>
          <w:sz w:val="22"/>
        </w:rPr>
        <w:t> </w:t>
      </w:r>
      <w:r>
        <w:rPr>
          <w:i/>
          <w:sz w:val="22"/>
        </w:rPr>
        <w:t>of</w:t>
      </w:r>
      <w:r>
        <w:rPr>
          <w:i/>
          <w:sz w:val="22"/>
        </w:rPr>
        <w:t> Dermatological Research</w:t>
      </w:r>
      <w:r>
        <w:rPr>
          <w:sz w:val="22"/>
        </w:rPr>
        <w:t>, </w:t>
      </w:r>
      <w:r>
        <w:rPr>
          <w:i/>
          <w:sz w:val="22"/>
        </w:rPr>
        <w:t>300</w:t>
      </w:r>
      <w:r>
        <w:rPr>
          <w:sz w:val="22"/>
        </w:rPr>
        <w:t>.</w:t>
      </w:r>
    </w:p>
    <w:p>
      <w:pPr>
        <w:pStyle w:val="BodyText"/>
        <w:spacing w:before="1"/>
        <w:ind w:left="960" w:right="600" w:hanging="721"/>
      </w:pPr>
      <w:r>
        <w:rPr/>
        <w:t>Yamaguchi,</w:t>
      </w:r>
      <w:r>
        <w:rPr>
          <w:spacing w:val="-14"/>
        </w:rPr>
        <w:t> </w:t>
      </w:r>
      <w:r>
        <w:rPr/>
        <w:t>Y.,</w:t>
      </w:r>
      <w:r>
        <w:rPr>
          <w:spacing w:val="-8"/>
        </w:rPr>
        <w:t> </w:t>
      </w:r>
      <w:r>
        <w:rPr/>
        <w:t>&amp;</w:t>
      </w:r>
      <w:r>
        <w:rPr>
          <w:spacing w:val="-9"/>
        </w:rPr>
        <w:t> </w:t>
      </w:r>
      <w:r>
        <w:rPr/>
        <w:t>Hearing,</w:t>
      </w:r>
      <w:r>
        <w:rPr>
          <w:spacing w:val="-12"/>
        </w:rPr>
        <w:t> </w:t>
      </w:r>
      <w:r>
        <w:rPr/>
        <w:t>V.</w:t>
      </w:r>
      <w:r>
        <w:rPr>
          <w:spacing w:val="-10"/>
        </w:rPr>
        <w:t> </w:t>
      </w:r>
      <w:r>
        <w:rPr/>
        <w:t>J.</w:t>
      </w:r>
      <w:r>
        <w:rPr>
          <w:spacing w:val="-10"/>
        </w:rPr>
        <w:t> </w:t>
      </w:r>
      <w:r>
        <w:rPr/>
        <w:t>(2007).</w:t>
      </w:r>
      <w:r>
        <w:rPr>
          <w:spacing w:val="-10"/>
        </w:rPr>
        <w:t> </w:t>
      </w:r>
      <w:r>
        <w:rPr/>
        <w:t>Melanocyte</w:t>
      </w:r>
      <w:r>
        <w:rPr>
          <w:spacing w:val="-8"/>
        </w:rPr>
        <w:t> </w:t>
      </w:r>
      <w:r>
        <w:rPr/>
        <w:t>Distribution</w:t>
      </w:r>
      <w:r>
        <w:rPr>
          <w:spacing w:val="-8"/>
        </w:rPr>
        <w:t> </w:t>
      </w:r>
      <w:r>
        <w:rPr/>
        <w:t>and</w:t>
      </w:r>
      <w:r>
        <w:rPr>
          <w:spacing w:val="-8"/>
        </w:rPr>
        <w:t> </w:t>
      </w:r>
      <w:r>
        <w:rPr/>
        <w:t>Function</w:t>
      </w:r>
      <w:r>
        <w:rPr>
          <w:spacing w:val="-10"/>
        </w:rPr>
        <w:t> </w:t>
      </w:r>
      <w:r>
        <w:rPr/>
        <w:t>in</w:t>
      </w:r>
      <w:r>
        <w:rPr>
          <w:spacing w:val="-10"/>
        </w:rPr>
        <w:t> </w:t>
      </w:r>
      <w:r>
        <w:rPr/>
        <w:t>Human</w:t>
      </w:r>
      <w:r>
        <w:rPr>
          <w:spacing w:val="-8"/>
        </w:rPr>
        <w:t> </w:t>
      </w:r>
      <w:r>
        <w:rPr/>
        <w:t>Skin:</w:t>
      </w:r>
      <w:r>
        <w:rPr>
          <w:spacing w:val="-7"/>
        </w:rPr>
        <w:t> </w:t>
      </w:r>
      <w:r>
        <w:rPr/>
        <w:t>Humana </w:t>
      </w:r>
      <w:r>
        <w:rPr>
          <w:spacing w:val="-2"/>
        </w:rPr>
        <w:t>Press.</w:t>
      </w:r>
    </w:p>
    <w:p>
      <w:pPr>
        <w:pStyle w:val="BodyText"/>
        <w:spacing w:before="251"/>
      </w:pPr>
    </w:p>
    <w:p>
      <w:pPr>
        <w:pStyle w:val="BodyText"/>
        <w:ind w:left="3947"/>
      </w:pPr>
      <w:bookmarkStart w:name="Author Information" w:id="2"/>
      <w:bookmarkEnd w:id="2"/>
      <w:r>
        <w:rPr/>
      </w:r>
      <w:r>
        <w:rPr>
          <w:u w:val="single"/>
        </w:rPr>
        <w:t>Author </w:t>
      </w:r>
      <w:r>
        <w:rPr>
          <w:spacing w:val="-2"/>
          <w:u w:val="single"/>
        </w:rPr>
        <w:t>Information</w:t>
      </w:r>
    </w:p>
    <w:p>
      <w:pPr>
        <w:pStyle w:val="BodyText"/>
        <w:spacing w:line="252" w:lineRule="exact" w:before="2"/>
        <w:ind w:left="3947"/>
      </w:pPr>
      <w:r>
        <w:rPr/>
        <w:t>*Danny</w:t>
      </w:r>
      <w:r>
        <w:rPr>
          <w:spacing w:val="-5"/>
        </w:rPr>
        <w:t> </w:t>
      </w:r>
      <w:r>
        <w:rPr/>
        <w:t>H.</w:t>
      </w:r>
      <w:r>
        <w:rPr>
          <w:spacing w:val="-2"/>
        </w:rPr>
        <w:t> </w:t>
      </w:r>
      <w:r>
        <w:rPr>
          <w:spacing w:val="-5"/>
        </w:rPr>
        <w:t>Kim</w:t>
      </w:r>
    </w:p>
    <w:p>
      <w:pPr>
        <w:pStyle w:val="Heading1"/>
        <w:spacing w:line="275" w:lineRule="exact"/>
        <w:ind w:left="3947"/>
      </w:pPr>
      <w:r>
        <w:rPr/>
        <w:t>California</w:t>
      </w:r>
      <w:r>
        <w:rPr>
          <w:spacing w:val="-3"/>
        </w:rPr>
        <w:t> </w:t>
      </w:r>
      <w:r>
        <w:rPr/>
        <w:t>State</w:t>
      </w:r>
      <w:r>
        <w:rPr>
          <w:spacing w:val="-2"/>
        </w:rPr>
        <w:t> </w:t>
      </w:r>
      <w:r>
        <w:rPr/>
        <w:t>University</w:t>
      </w:r>
      <w:r>
        <w:rPr>
          <w:spacing w:val="-5"/>
        </w:rPr>
        <w:t> </w:t>
      </w:r>
      <w:r>
        <w:rPr>
          <w:spacing w:val="-2"/>
        </w:rPr>
        <w:t>Fullerton</w:t>
      </w:r>
    </w:p>
    <w:p>
      <w:pPr>
        <w:pStyle w:val="BodyText"/>
        <w:spacing w:before="2"/>
        <w:ind w:left="3948" w:right="3281"/>
      </w:pPr>
      <w:r>
        <w:rPr/>
        <w:t>Department</w:t>
      </w:r>
      <w:r>
        <w:rPr>
          <w:spacing w:val="-12"/>
        </w:rPr>
        <w:t> </w:t>
      </w:r>
      <w:r>
        <w:rPr/>
        <w:t>of</w:t>
      </w:r>
      <w:r>
        <w:rPr>
          <w:spacing w:val="-12"/>
        </w:rPr>
        <w:t> </w:t>
      </w:r>
      <w:r>
        <w:rPr/>
        <w:t>Health</w:t>
      </w:r>
      <w:r>
        <w:rPr>
          <w:spacing w:val="-13"/>
        </w:rPr>
        <w:t> </w:t>
      </w:r>
      <w:r>
        <w:rPr/>
        <w:t>Science 800 N. State College Blvd.</w:t>
      </w:r>
    </w:p>
    <w:p>
      <w:pPr>
        <w:pStyle w:val="BodyText"/>
        <w:ind w:left="3947" w:right="3281"/>
      </w:pPr>
      <w:r>
        <w:rPr/>
        <w:t>Fullerton,</w:t>
      </w:r>
      <w:r>
        <w:rPr>
          <w:spacing w:val="-12"/>
        </w:rPr>
        <w:t> </w:t>
      </w:r>
      <w:r>
        <w:rPr/>
        <w:t>CA</w:t>
      </w:r>
      <w:r>
        <w:rPr>
          <w:spacing w:val="-13"/>
        </w:rPr>
        <w:t> </w:t>
      </w:r>
      <w:r>
        <w:rPr/>
        <w:t>92831,</w:t>
      </w:r>
      <w:r>
        <w:rPr>
          <w:spacing w:val="-12"/>
        </w:rPr>
        <w:t> </w:t>
      </w:r>
      <w:r>
        <w:rPr/>
        <w:t>USA Phone: 657-278-5649</w:t>
      </w:r>
    </w:p>
    <w:p>
      <w:pPr>
        <w:pStyle w:val="BodyText"/>
        <w:spacing w:line="252" w:lineRule="exact"/>
        <w:ind w:left="3947"/>
      </w:pPr>
      <w:r>
        <w:rPr/>
        <w:t>Fax:</w:t>
      </w:r>
      <w:r>
        <w:rPr>
          <w:spacing w:val="-9"/>
        </w:rPr>
        <w:t> </w:t>
      </w:r>
      <w:r>
        <w:rPr/>
        <w:t>657-278-</w:t>
      </w:r>
      <w:r>
        <w:rPr>
          <w:spacing w:val="-4"/>
        </w:rPr>
        <w:t>5317</w:t>
      </w:r>
    </w:p>
    <w:p>
      <w:pPr>
        <w:pStyle w:val="BodyText"/>
        <w:spacing w:line="252" w:lineRule="exact"/>
        <w:ind w:left="3947"/>
      </w:pPr>
      <w:r>
        <w:rPr/>
        <w:t>E-mail:</w:t>
      </w:r>
      <w:r>
        <w:rPr>
          <w:spacing w:val="-1"/>
        </w:rPr>
        <w:t> </w:t>
      </w:r>
      <w:hyperlink r:id="rId25">
        <w:r>
          <w:rPr>
            <w:spacing w:val="-2"/>
          </w:rPr>
          <w:t>dannykim@fullerton.edu</w:t>
        </w:r>
      </w:hyperlink>
    </w:p>
    <w:p>
      <w:pPr>
        <w:pStyle w:val="BodyText"/>
        <w:spacing w:before="2"/>
      </w:pPr>
    </w:p>
    <w:p>
      <w:pPr>
        <w:spacing w:before="0"/>
        <w:ind w:left="3947" w:right="0" w:firstLine="0"/>
        <w:jc w:val="left"/>
        <w:rPr>
          <w:sz w:val="18"/>
        </w:rPr>
      </w:pPr>
      <w:r>
        <w:rPr>
          <w:sz w:val="18"/>
        </w:rPr>
        <w:t>*</w:t>
      </w:r>
      <w:r>
        <w:rPr>
          <w:spacing w:val="-3"/>
          <w:sz w:val="18"/>
        </w:rPr>
        <w:t> </w:t>
      </w:r>
      <w:r>
        <w:rPr>
          <w:sz w:val="18"/>
        </w:rPr>
        <w:t>corresponding</w:t>
      </w:r>
      <w:r>
        <w:rPr>
          <w:spacing w:val="-1"/>
          <w:sz w:val="18"/>
        </w:rPr>
        <w:t> </w:t>
      </w:r>
      <w:r>
        <w:rPr>
          <w:spacing w:val="-2"/>
          <w:sz w:val="18"/>
        </w:rPr>
        <w:t>author</w:t>
      </w:r>
    </w:p>
    <w:sectPr>
      <w:pgSz w:w="12240" w:h="15840"/>
      <w:pgMar w:header="699" w:footer="1070" w:top="1340" w:bottom="1260" w:left="1200" w:right="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95456">
              <wp:simplePos x="0" y="0"/>
              <wp:positionH relativeFrom="page">
                <wp:posOffset>3771900</wp:posOffset>
              </wp:positionH>
              <wp:positionV relativeFrom="page">
                <wp:posOffset>9239334</wp:posOffset>
              </wp:positionV>
              <wp:extent cx="2413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1300" cy="194310"/>
                      </a:xfrm>
                      <a:prstGeom prst="rect">
                        <a:avLst/>
                      </a:prstGeom>
                    </wps:spPr>
                    <wps:txbx>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25</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7pt;margin-top:727.506653pt;width:19pt;height:15.3pt;mso-position-horizontal-relative:page;mso-position-vertical-relative:page;z-index:-16321024" type="#_x0000_t202" id="docshape2" filled="false" stroked="false">
              <v:textbox inset="0,0,0,0">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25</w:t>
                    </w:r>
                    <w:r>
                      <w:rPr>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94944">
              <wp:simplePos x="0" y="0"/>
              <wp:positionH relativeFrom="page">
                <wp:posOffset>970280</wp:posOffset>
              </wp:positionH>
              <wp:positionV relativeFrom="page">
                <wp:posOffset>444950</wp:posOffset>
              </wp:positionV>
              <wp:extent cx="4448810"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448810" cy="139065"/>
                      </a:xfrm>
                      <a:prstGeom prst="rect">
                        <a:avLst/>
                      </a:prstGeom>
                    </wps:spPr>
                    <wps:txbx>
                      <w:txbxContent>
                        <w:p>
                          <w:pPr>
                            <w:spacing w:before="14"/>
                            <w:ind w:left="20" w:right="0" w:firstLine="0"/>
                            <w:jc w:val="left"/>
                            <w:rPr>
                              <w:i/>
                              <w:sz w:val="16"/>
                            </w:rPr>
                          </w:pPr>
                          <w:r>
                            <w:rPr>
                              <w:i/>
                              <w:sz w:val="16"/>
                            </w:rPr>
                            <w:t>Meh</w:t>
                          </w:r>
                          <w:r>
                            <w:rPr>
                              <w:i/>
                              <w:spacing w:val="-5"/>
                              <w:sz w:val="16"/>
                            </w:rPr>
                            <w:t> </w:t>
                          </w:r>
                          <w:r>
                            <w:rPr>
                              <w:i/>
                              <w:sz w:val="16"/>
                            </w:rPr>
                            <w:t>C.,</w:t>
                          </w:r>
                          <w:r>
                            <w:rPr>
                              <w:i/>
                              <w:spacing w:val="-2"/>
                              <w:sz w:val="16"/>
                            </w:rPr>
                            <w:t> </w:t>
                          </w:r>
                          <w:r>
                            <w:rPr>
                              <w:i/>
                              <w:sz w:val="16"/>
                            </w:rPr>
                            <w:t>Gill</w:t>
                          </w:r>
                          <w:r>
                            <w:rPr>
                              <w:i/>
                              <w:spacing w:val="-2"/>
                              <w:sz w:val="16"/>
                            </w:rPr>
                            <w:t> </w:t>
                          </w:r>
                          <w:r>
                            <w:rPr>
                              <w:i/>
                              <w:sz w:val="16"/>
                            </w:rPr>
                            <w:t>J.,</w:t>
                          </w:r>
                          <w:r>
                            <w:rPr>
                              <w:i/>
                              <w:spacing w:val="-5"/>
                              <w:sz w:val="16"/>
                            </w:rPr>
                            <w:t> </w:t>
                          </w:r>
                          <w:r>
                            <w:rPr>
                              <w:i/>
                              <w:sz w:val="16"/>
                            </w:rPr>
                            <w:t>Kim</w:t>
                          </w:r>
                          <w:r>
                            <w:rPr>
                              <w:i/>
                              <w:spacing w:val="-6"/>
                              <w:sz w:val="16"/>
                            </w:rPr>
                            <w:t> </w:t>
                          </w:r>
                          <w:r>
                            <w:rPr>
                              <w:i/>
                              <w:sz w:val="16"/>
                            </w:rPr>
                            <w:t>D.H.</w:t>
                          </w:r>
                          <w:r>
                            <w:rPr>
                              <w:i/>
                              <w:spacing w:val="-5"/>
                              <w:sz w:val="16"/>
                            </w:rPr>
                            <w:t> </w:t>
                          </w:r>
                          <w:r>
                            <w:rPr>
                              <w:i/>
                              <w:sz w:val="16"/>
                            </w:rPr>
                            <w:t>/</w:t>
                          </w:r>
                          <w:r>
                            <w:rPr>
                              <w:i/>
                              <w:spacing w:val="-4"/>
                              <w:sz w:val="16"/>
                            </w:rPr>
                            <w:t> </w:t>
                          </w:r>
                          <w:r>
                            <w:rPr>
                              <w:i/>
                              <w:sz w:val="16"/>
                            </w:rPr>
                            <w:t>Californian</w:t>
                          </w:r>
                          <w:r>
                            <w:rPr>
                              <w:i/>
                              <w:spacing w:val="-2"/>
                              <w:sz w:val="16"/>
                            </w:rPr>
                            <w:t> </w:t>
                          </w:r>
                          <w:r>
                            <w:rPr>
                              <w:i/>
                              <w:sz w:val="16"/>
                            </w:rPr>
                            <w:t>Journal</w:t>
                          </w:r>
                          <w:r>
                            <w:rPr>
                              <w:i/>
                              <w:spacing w:val="-4"/>
                              <w:sz w:val="16"/>
                            </w:rPr>
                            <w:t> </w:t>
                          </w:r>
                          <w:r>
                            <w:rPr>
                              <w:i/>
                              <w:sz w:val="16"/>
                            </w:rPr>
                            <w:t>of</w:t>
                          </w:r>
                          <w:r>
                            <w:rPr>
                              <w:i/>
                              <w:spacing w:val="-3"/>
                              <w:sz w:val="16"/>
                            </w:rPr>
                            <w:t> </w:t>
                          </w:r>
                          <w:r>
                            <w:rPr>
                              <w:i/>
                              <w:sz w:val="16"/>
                            </w:rPr>
                            <w:t>Health</w:t>
                          </w:r>
                          <w:r>
                            <w:rPr>
                              <w:i/>
                              <w:spacing w:val="-4"/>
                              <w:sz w:val="16"/>
                            </w:rPr>
                            <w:t> </w:t>
                          </w:r>
                          <w:r>
                            <w:rPr>
                              <w:i/>
                              <w:sz w:val="16"/>
                            </w:rPr>
                            <w:t>Promotion</w:t>
                          </w:r>
                          <w:r>
                            <w:rPr>
                              <w:i/>
                              <w:spacing w:val="-4"/>
                              <w:sz w:val="16"/>
                            </w:rPr>
                            <w:t> </w:t>
                          </w:r>
                          <w:r>
                            <w:rPr>
                              <w:i/>
                              <w:sz w:val="16"/>
                            </w:rPr>
                            <w:t>2013,</w:t>
                          </w:r>
                          <w:r>
                            <w:rPr>
                              <w:i/>
                              <w:spacing w:val="-7"/>
                              <w:sz w:val="16"/>
                            </w:rPr>
                            <w:t> </w:t>
                          </w:r>
                          <w:r>
                            <w:rPr>
                              <w:i/>
                              <w:sz w:val="16"/>
                            </w:rPr>
                            <w:t>Volume</w:t>
                          </w:r>
                          <w:r>
                            <w:rPr>
                              <w:i/>
                              <w:spacing w:val="-4"/>
                              <w:sz w:val="16"/>
                            </w:rPr>
                            <w:t> </w:t>
                          </w:r>
                          <w:r>
                            <w:rPr>
                              <w:i/>
                              <w:sz w:val="16"/>
                            </w:rPr>
                            <w:t>11,</w:t>
                          </w:r>
                          <w:r>
                            <w:rPr>
                              <w:i/>
                              <w:spacing w:val="-4"/>
                              <w:sz w:val="16"/>
                            </w:rPr>
                            <w:t> </w:t>
                          </w:r>
                          <w:r>
                            <w:rPr>
                              <w:i/>
                              <w:sz w:val="16"/>
                            </w:rPr>
                            <w:t>Issue</w:t>
                          </w:r>
                          <w:r>
                            <w:rPr>
                              <w:i/>
                              <w:spacing w:val="-4"/>
                              <w:sz w:val="16"/>
                            </w:rPr>
                            <w:t> </w:t>
                          </w:r>
                          <w:r>
                            <w:rPr>
                              <w:i/>
                              <w:sz w:val="16"/>
                            </w:rPr>
                            <w:t>3,</w:t>
                          </w:r>
                          <w:r>
                            <w:rPr>
                              <w:i/>
                              <w:spacing w:val="-4"/>
                              <w:sz w:val="16"/>
                            </w:rPr>
                            <w:t> </w:t>
                          </w:r>
                          <w:r>
                            <w:rPr>
                              <w:i/>
                              <w:sz w:val="16"/>
                            </w:rPr>
                            <w:t>Pages</w:t>
                          </w:r>
                          <w:r>
                            <w:rPr>
                              <w:i/>
                              <w:spacing w:val="-5"/>
                              <w:sz w:val="16"/>
                            </w:rPr>
                            <w:t> </w:t>
                          </w:r>
                          <w:r>
                            <w:rPr>
                              <w:i/>
                              <w:sz w:val="16"/>
                            </w:rPr>
                            <w:t>25-</w:t>
                          </w:r>
                          <w:r>
                            <w:rPr>
                              <w:i/>
                              <w:spacing w:val="-5"/>
                              <w:sz w:val="16"/>
                            </w:rPr>
                            <w:t>35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6.400002pt;margin-top:35.035450pt;width:350.3pt;height:10.95pt;mso-position-horizontal-relative:page;mso-position-vertical-relative:page;z-index:-16321536" type="#_x0000_t202" id="docshape1" filled="false" stroked="false">
              <v:textbox inset="0,0,0,0">
                <w:txbxContent>
                  <w:p>
                    <w:pPr>
                      <w:spacing w:before="14"/>
                      <w:ind w:left="20" w:right="0" w:firstLine="0"/>
                      <w:jc w:val="left"/>
                      <w:rPr>
                        <w:i/>
                        <w:sz w:val="16"/>
                      </w:rPr>
                    </w:pPr>
                    <w:r>
                      <w:rPr>
                        <w:i/>
                        <w:sz w:val="16"/>
                      </w:rPr>
                      <w:t>Meh</w:t>
                    </w:r>
                    <w:r>
                      <w:rPr>
                        <w:i/>
                        <w:spacing w:val="-5"/>
                        <w:sz w:val="16"/>
                      </w:rPr>
                      <w:t> </w:t>
                    </w:r>
                    <w:r>
                      <w:rPr>
                        <w:i/>
                        <w:sz w:val="16"/>
                      </w:rPr>
                      <w:t>C.,</w:t>
                    </w:r>
                    <w:r>
                      <w:rPr>
                        <w:i/>
                        <w:spacing w:val="-2"/>
                        <w:sz w:val="16"/>
                      </w:rPr>
                      <w:t> </w:t>
                    </w:r>
                    <w:r>
                      <w:rPr>
                        <w:i/>
                        <w:sz w:val="16"/>
                      </w:rPr>
                      <w:t>Gill</w:t>
                    </w:r>
                    <w:r>
                      <w:rPr>
                        <w:i/>
                        <w:spacing w:val="-2"/>
                        <w:sz w:val="16"/>
                      </w:rPr>
                      <w:t> </w:t>
                    </w:r>
                    <w:r>
                      <w:rPr>
                        <w:i/>
                        <w:sz w:val="16"/>
                      </w:rPr>
                      <w:t>J.,</w:t>
                    </w:r>
                    <w:r>
                      <w:rPr>
                        <w:i/>
                        <w:spacing w:val="-5"/>
                        <w:sz w:val="16"/>
                      </w:rPr>
                      <w:t> </w:t>
                    </w:r>
                    <w:r>
                      <w:rPr>
                        <w:i/>
                        <w:sz w:val="16"/>
                      </w:rPr>
                      <w:t>Kim</w:t>
                    </w:r>
                    <w:r>
                      <w:rPr>
                        <w:i/>
                        <w:spacing w:val="-6"/>
                        <w:sz w:val="16"/>
                      </w:rPr>
                      <w:t> </w:t>
                    </w:r>
                    <w:r>
                      <w:rPr>
                        <w:i/>
                        <w:sz w:val="16"/>
                      </w:rPr>
                      <w:t>D.H.</w:t>
                    </w:r>
                    <w:r>
                      <w:rPr>
                        <w:i/>
                        <w:spacing w:val="-5"/>
                        <w:sz w:val="16"/>
                      </w:rPr>
                      <w:t> </w:t>
                    </w:r>
                    <w:r>
                      <w:rPr>
                        <w:i/>
                        <w:sz w:val="16"/>
                      </w:rPr>
                      <w:t>/</w:t>
                    </w:r>
                    <w:r>
                      <w:rPr>
                        <w:i/>
                        <w:spacing w:val="-4"/>
                        <w:sz w:val="16"/>
                      </w:rPr>
                      <w:t> </w:t>
                    </w:r>
                    <w:r>
                      <w:rPr>
                        <w:i/>
                        <w:sz w:val="16"/>
                      </w:rPr>
                      <w:t>Californian</w:t>
                    </w:r>
                    <w:r>
                      <w:rPr>
                        <w:i/>
                        <w:spacing w:val="-2"/>
                        <w:sz w:val="16"/>
                      </w:rPr>
                      <w:t> </w:t>
                    </w:r>
                    <w:r>
                      <w:rPr>
                        <w:i/>
                        <w:sz w:val="16"/>
                      </w:rPr>
                      <w:t>Journal</w:t>
                    </w:r>
                    <w:r>
                      <w:rPr>
                        <w:i/>
                        <w:spacing w:val="-4"/>
                        <w:sz w:val="16"/>
                      </w:rPr>
                      <w:t> </w:t>
                    </w:r>
                    <w:r>
                      <w:rPr>
                        <w:i/>
                        <w:sz w:val="16"/>
                      </w:rPr>
                      <w:t>of</w:t>
                    </w:r>
                    <w:r>
                      <w:rPr>
                        <w:i/>
                        <w:spacing w:val="-3"/>
                        <w:sz w:val="16"/>
                      </w:rPr>
                      <w:t> </w:t>
                    </w:r>
                    <w:r>
                      <w:rPr>
                        <w:i/>
                        <w:sz w:val="16"/>
                      </w:rPr>
                      <w:t>Health</w:t>
                    </w:r>
                    <w:r>
                      <w:rPr>
                        <w:i/>
                        <w:spacing w:val="-4"/>
                        <w:sz w:val="16"/>
                      </w:rPr>
                      <w:t> </w:t>
                    </w:r>
                    <w:r>
                      <w:rPr>
                        <w:i/>
                        <w:sz w:val="16"/>
                      </w:rPr>
                      <w:t>Promotion</w:t>
                    </w:r>
                    <w:r>
                      <w:rPr>
                        <w:i/>
                        <w:spacing w:val="-4"/>
                        <w:sz w:val="16"/>
                      </w:rPr>
                      <w:t> </w:t>
                    </w:r>
                    <w:r>
                      <w:rPr>
                        <w:i/>
                        <w:sz w:val="16"/>
                      </w:rPr>
                      <w:t>2013,</w:t>
                    </w:r>
                    <w:r>
                      <w:rPr>
                        <w:i/>
                        <w:spacing w:val="-7"/>
                        <w:sz w:val="16"/>
                      </w:rPr>
                      <w:t> </w:t>
                    </w:r>
                    <w:r>
                      <w:rPr>
                        <w:i/>
                        <w:sz w:val="16"/>
                      </w:rPr>
                      <w:t>Volume</w:t>
                    </w:r>
                    <w:r>
                      <w:rPr>
                        <w:i/>
                        <w:spacing w:val="-4"/>
                        <w:sz w:val="16"/>
                      </w:rPr>
                      <w:t> </w:t>
                    </w:r>
                    <w:r>
                      <w:rPr>
                        <w:i/>
                        <w:sz w:val="16"/>
                      </w:rPr>
                      <w:t>11,</w:t>
                    </w:r>
                    <w:r>
                      <w:rPr>
                        <w:i/>
                        <w:spacing w:val="-4"/>
                        <w:sz w:val="16"/>
                      </w:rPr>
                      <w:t> </w:t>
                    </w:r>
                    <w:r>
                      <w:rPr>
                        <w:i/>
                        <w:sz w:val="16"/>
                      </w:rPr>
                      <w:t>Issue</w:t>
                    </w:r>
                    <w:r>
                      <w:rPr>
                        <w:i/>
                        <w:spacing w:val="-4"/>
                        <w:sz w:val="16"/>
                      </w:rPr>
                      <w:t> </w:t>
                    </w:r>
                    <w:r>
                      <w:rPr>
                        <w:i/>
                        <w:sz w:val="16"/>
                      </w:rPr>
                      <w:t>3,</w:t>
                    </w:r>
                    <w:r>
                      <w:rPr>
                        <w:i/>
                        <w:spacing w:val="-4"/>
                        <w:sz w:val="16"/>
                      </w:rPr>
                      <w:t> </w:t>
                    </w:r>
                    <w:r>
                      <w:rPr>
                        <w:i/>
                        <w:sz w:val="16"/>
                      </w:rPr>
                      <w:t>Pages</w:t>
                    </w:r>
                    <w:r>
                      <w:rPr>
                        <w:i/>
                        <w:spacing w:val="-5"/>
                        <w:sz w:val="16"/>
                      </w:rPr>
                      <w:t> </w:t>
                    </w:r>
                    <w:r>
                      <w:rPr>
                        <w:i/>
                        <w:sz w:val="16"/>
                      </w:rPr>
                      <w:t>25-</w:t>
                    </w:r>
                    <w:r>
                      <w:rPr>
                        <w:i/>
                        <w:spacing w:val="-5"/>
                        <w:sz w:val="16"/>
                      </w:rPr>
                      <w:t>35</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60"/>
      <w:outlineLvl w:val="1"/>
    </w:pPr>
    <w:rPr>
      <w:rFonts w:ascii="Times New Roman" w:hAnsi="Times New Roman" w:eastAsia="Times New Roman" w:cs="Times New Roman"/>
      <w:sz w:val="24"/>
      <w:szCs w:val="24"/>
      <w:lang w:val="en-US" w:eastAsia="en-US" w:bidi="ar-SA"/>
    </w:rPr>
  </w:style>
  <w:style w:styleId="Heading2" w:type="paragraph">
    <w:name w:val="Heading 2"/>
    <w:basedOn w:val="Normal"/>
    <w:uiPriority w:val="1"/>
    <w:qFormat/>
    <w:pPr>
      <w:ind w:left="240"/>
      <w:outlineLvl w:val="2"/>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ind w:left="60" w:right="384"/>
      <w:jc w:val="center"/>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ccrcal.org/pdf/Reports/ACS_2012.pdf" TargetMode="External"/><Relationship Id="rId8" Type="http://schemas.openxmlformats.org/officeDocument/2006/relationships/hyperlink" Target="http://healthymaryland.org/public-health/skin-cancer-prevention" TargetMode="External"/><Relationship Id="rId9" Type="http://schemas.openxmlformats.org/officeDocument/2006/relationships/hyperlink" Target="http://www.cdc.gov/cancer/skin/basic_info/risk_factors.htm" TargetMode="External"/><Relationship Id="rId10" Type="http://schemas.openxmlformats.org/officeDocument/2006/relationships/hyperlink" Target="http://apps.nccd.cdc.gov/uscs/statevsnational.aspx" TargetMode="External"/><Relationship Id="rId11" Type="http://schemas.openxmlformats.org/officeDocument/2006/relationships/hyperlink" Target="http://www.cdc.gov/cancer/skin/statistics/state.htm.Centers" TargetMode="External"/><Relationship Id="rId12" Type="http://schemas.openxmlformats.org/officeDocument/2006/relationships/hyperlink" Target="http://apps.nccd.cdc.gov/DCPC_INCA/DCPC_INCA.aspx" TargetMode="External"/><Relationship Id="rId13" Type="http://schemas.openxmlformats.org/officeDocument/2006/relationships/hyperlink" Target="http://www.healthreform.gov/reports/healthdisparities/" TargetMode="External"/><Relationship Id="rId14" Type="http://schemas.openxmlformats.org/officeDocument/2006/relationships/hyperlink" Target="http://fha.maryland.gov/pdf/cancer/CRF_Cancer_Report_2010.pdf" TargetMode="External"/><Relationship Id="rId15" Type="http://schemas.openxmlformats.org/officeDocument/2006/relationships/hyperlink" Target="http://www.cancer.gov/cancertopics/wyntk/skin/page5" TargetMode="External"/><Relationship Id="rId16" Type="http://schemas.openxmlformats.org/officeDocument/2006/relationships/hyperlink" Target="http://www.statecancerprofiles.cancer.gov/incidencerates/index.php" TargetMode="External"/><Relationship Id="rId17" Type="http://schemas.openxmlformats.org/officeDocument/2006/relationships/hyperlink" Target="http://www.cpc.ncep.noaa.gov/products/stratosphere/uv_index/uv_annual.shtml" TargetMode="External"/><Relationship Id="rId18" Type="http://schemas.openxmlformats.org/officeDocument/2006/relationships/hyperlink" Target="http://faststats.naaccr.org/selections.php?&amp;Output" TargetMode="External"/><Relationship Id="rId19" Type="http://schemas.openxmlformats.org/officeDocument/2006/relationships/hyperlink" Target="http://www.skincancer.org/Skin-" TargetMode="External"/><Relationship Id="rId20" Type="http://schemas.openxmlformats.org/officeDocument/2006/relationships/hyperlink" Target="http://www.ciesin.columbia.edu/docs/001-526/001-526.html" TargetMode="External"/><Relationship Id="rId21" Type="http://schemas.openxmlformats.org/officeDocument/2006/relationships/hyperlink" Target="http://www.visitcalifornia.com/Travel-Tools/Weather" TargetMode="External"/><Relationship Id="rId22" Type="http://schemas.openxmlformats.org/officeDocument/2006/relationships/hyperlink" Target="http://visitmaryland.org/ALLABOUTMD/Pages/Facts.aspx" TargetMode="External"/><Relationship Id="rId23" Type="http://schemas.openxmlformats.org/officeDocument/2006/relationships/hyperlink" Target="http://www.who.int/uv/intersunprogramme/activities/uv_index/en/index3.html" TargetMode="External"/><Relationship Id="rId24" Type="http://schemas.openxmlformats.org/officeDocument/2006/relationships/hyperlink" Target="http://www.worldatlas.com/webimage/countrys/namerica/us.htm" TargetMode="External"/><Relationship Id="rId25" Type="http://schemas.openxmlformats.org/officeDocument/2006/relationships/hyperlink" Target="mailto:dannykim@fullert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California State University,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PASTE AUTHOR HERE</dc:creator>
  <dc:description>http://www.cjhp.org</dc:description>
  <cp:keywords>PASTE KEYWORDS HERE</cp:keywords>
  <dc:subject>Californian Journal of Health Promotion 2011 Volume 9 Issue 2</dc:subject>
  <dc:title>PASTE TITLE HERE</dc:title>
  <dcterms:created xsi:type="dcterms:W3CDTF">2026-10-05T15:47:37Z</dcterms:created>
  <dcterms:modified xsi:type="dcterms:W3CDTF">2026-10-05T15:47:37Z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2014-01-07T00:00:00Z</vt:filetime>
  </property>
  <property fmtid="{D5CDD505-2E9C-101B-9397-08002B2CF9AE}" pid="3" name="Creator">
    <vt:lpwstr>Acrobat PDFMaker 10.1 for Word</vt:lpwstr>
  </property>
  <property fmtid="{D5CDD505-2E9C-101B-9397-08002B2CF9AE}" pid="4" name="LastSaved">
    <vt:filetime>2026-10-05T00:00:00Z</vt:filetime>
  </property>
  <property fmtid="{D5CDD505-2E9C-101B-9397-08002B2CF9AE}" pid="5" name="Producer">
    <vt:lpwstr>Adobe PDF Library 10.0</vt:lpwstr>
  </property>
  <property fmtid="{D5CDD505-2E9C-101B-9397-08002B2CF9AE}" pid="6" name="SourceModified">
    <vt:lpwstr>D:20140107221757</vt:lpwstr>
  </property>
</Properties>
</file>