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header1.xml" ContentType="application/vnd.openxmlformats-officedocument.wordprocessingml.header+xml"/>
  <Override PartName="/word/footer1.xml" ContentType="application/vnd.openxmlformats-officedocument.wordprocessingml.footer+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BodyText"/>
        <w:spacing w:before="34"/>
        <w:ind w:left="0"/>
        <w:rPr>
          <w:sz w:val="28"/>
        </w:rPr>
      </w:pPr>
    </w:p>
    <w:p>
      <w:pPr>
        <w:pStyle w:val="Title"/>
      </w:pPr>
      <w:r>
        <w:rPr/>
        <w:t>A</w:t>
      </w:r>
      <w:r>
        <w:rPr>
          <w:spacing w:val="-5"/>
        </w:rPr>
        <w:t> </w:t>
      </w:r>
      <w:r>
        <w:rPr/>
        <w:t>Case</w:t>
      </w:r>
      <w:r>
        <w:rPr>
          <w:spacing w:val="-4"/>
        </w:rPr>
        <w:t> </w:t>
      </w:r>
      <w:r>
        <w:rPr/>
        <w:t>Study</w:t>
      </w:r>
      <w:r>
        <w:rPr>
          <w:spacing w:val="-8"/>
        </w:rPr>
        <w:t> </w:t>
      </w:r>
      <w:r>
        <w:rPr/>
        <w:t>in</w:t>
      </w:r>
      <w:r>
        <w:rPr>
          <w:spacing w:val="-3"/>
        </w:rPr>
        <w:t> </w:t>
      </w:r>
      <w:r>
        <w:rPr/>
        <w:t>Chamorro</w:t>
      </w:r>
      <w:r>
        <w:rPr>
          <w:spacing w:val="-3"/>
        </w:rPr>
        <w:t> </w:t>
      </w:r>
      <w:r>
        <w:rPr/>
        <w:t>Community</w:t>
      </w:r>
      <w:r>
        <w:rPr>
          <w:spacing w:val="-8"/>
        </w:rPr>
        <w:t> </w:t>
      </w:r>
      <w:r>
        <w:rPr/>
        <w:t>and</w:t>
      </w:r>
      <w:r>
        <w:rPr>
          <w:spacing w:val="-3"/>
        </w:rPr>
        <w:t> </w:t>
      </w:r>
      <w:r>
        <w:rPr/>
        <w:t>Academic</w:t>
      </w:r>
      <w:r>
        <w:rPr>
          <w:spacing w:val="-4"/>
        </w:rPr>
        <w:t> </w:t>
      </w:r>
      <w:r>
        <w:rPr/>
        <w:t>Engagement</w:t>
      </w:r>
      <w:r>
        <w:rPr>
          <w:spacing w:val="-3"/>
        </w:rPr>
        <w:t> </w:t>
      </w:r>
      <w:r>
        <w:rPr/>
        <w:t>for</w:t>
      </w:r>
      <w:r>
        <w:rPr>
          <w:spacing w:val="-7"/>
        </w:rPr>
        <w:t> </w:t>
      </w:r>
      <w:r>
        <w:rPr/>
        <w:t>a Community-Partnered Research Approach</w:t>
      </w:r>
    </w:p>
    <w:p>
      <w:pPr>
        <w:spacing w:before="228"/>
        <w:ind w:left="208" w:right="205" w:firstLine="0"/>
        <w:jc w:val="center"/>
        <w:rPr>
          <w:sz w:val="24"/>
        </w:rPr>
      </w:pPr>
      <w:r>
        <w:rPr>
          <w:sz w:val="24"/>
        </w:rPr>
        <w:t>Diana</w:t>
      </w:r>
      <w:r>
        <w:rPr>
          <w:spacing w:val="-5"/>
          <w:sz w:val="24"/>
        </w:rPr>
        <w:t> </w:t>
      </w:r>
      <w:r>
        <w:rPr>
          <w:sz w:val="24"/>
        </w:rPr>
        <w:t>M.</w:t>
      </w:r>
      <w:r>
        <w:rPr>
          <w:spacing w:val="-4"/>
          <w:sz w:val="24"/>
        </w:rPr>
        <w:t> </w:t>
      </w:r>
      <w:r>
        <w:rPr>
          <w:sz w:val="24"/>
        </w:rPr>
        <w:t>Tisnado</w:t>
      </w:r>
      <w:r>
        <w:rPr>
          <w:sz w:val="24"/>
          <w:vertAlign w:val="superscript"/>
        </w:rPr>
        <w:t>1</w:t>
      </w:r>
      <w:r>
        <w:rPr>
          <w:sz w:val="24"/>
          <w:vertAlign w:val="baseline"/>
        </w:rPr>
        <w:t>,</w:t>
      </w:r>
      <w:r>
        <w:rPr>
          <w:spacing w:val="-3"/>
          <w:sz w:val="24"/>
          <w:vertAlign w:val="baseline"/>
        </w:rPr>
        <w:t> </w:t>
      </w:r>
      <w:r>
        <w:rPr>
          <w:sz w:val="24"/>
          <w:vertAlign w:val="baseline"/>
        </w:rPr>
        <w:t>Lola</w:t>
      </w:r>
      <w:r>
        <w:rPr>
          <w:spacing w:val="-4"/>
          <w:sz w:val="24"/>
          <w:vertAlign w:val="baseline"/>
        </w:rPr>
        <w:t> </w:t>
      </w:r>
      <w:r>
        <w:rPr>
          <w:sz w:val="24"/>
          <w:vertAlign w:val="baseline"/>
        </w:rPr>
        <w:t>Sablan-Santos</w:t>
      </w:r>
      <w:r>
        <w:rPr>
          <w:sz w:val="24"/>
          <w:vertAlign w:val="superscript"/>
        </w:rPr>
        <w:t>2</w:t>
      </w:r>
      <w:r>
        <w:rPr>
          <w:sz w:val="24"/>
          <w:vertAlign w:val="baseline"/>
        </w:rPr>
        <w:t>,</w:t>
      </w:r>
      <w:r>
        <w:rPr>
          <w:spacing w:val="-3"/>
          <w:sz w:val="24"/>
          <w:vertAlign w:val="baseline"/>
        </w:rPr>
        <w:t> </w:t>
      </w:r>
      <w:r>
        <w:rPr>
          <w:sz w:val="24"/>
          <w:vertAlign w:val="baseline"/>
        </w:rPr>
        <w:t>Linda</w:t>
      </w:r>
      <w:r>
        <w:rPr>
          <w:spacing w:val="-4"/>
          <w:sz w:val="24"/>
          <w:vertAlign w:val="baseline"/>
        </w:rPr>
        <w:t> </w:t>
      </w:r>
      <w:r>
        <w:rPr>
          <w:sz w:val="24"/>
          <w:vertAlign w:val="baseline"/>
        </w:rPr>
        <w:t>Guevara</w:t>
      </w:r>
      <w:r>
        <w:rPr>
          <w:sz w:val="24"/>
          <w:vertAlign w:val="superscript"/>
        </w:rPr>
        <w:t>2</w:t>
      </w:r>
      <w:r>
        <w:rPr>
          <w:sz w:val="24"/>
          <w:vertAlign w:val="baseline"/>
        </w:rPr>
        <w:t>,</w:t>
      </w:r>
      <w:r>
        <w:rPr>
          <w:spacing w:val="-3"/>
          <w:sz w:val="24"/>
          <w:vertAlign w:val="baseline"/>
        </w:rPr>
        <w:t> </w:t>
      </w:r>
      <w:r>
        <w:rPr>
          <w:sz w:val="24"/>
          <w:vertAlign w:val="baseline"/>
        </w:rPr>
        <w:t>Lourdes</w:t>
      </w:r>
      <w:r>
        <w:rPr>
          <w:spacing w:val="-4"/>
          <w:sz w:val="24"/>
          <w:vertAlign w:val="baseline"/>
        </w:rPr>
        <w:t> </w:t>
      </w:r>
      <w:r>
        <w:rPr>
          <w:sz w:val="24"/>
          <w:vertAlign w:val="baseline"/>
        </w:rPr>
        <w:t>Quitugua</w:t>
      </w:r>
      <w:r>
        <w:rPr>
          <w:sz w:val="24"/>
          <w:vertAlign w:val="superscript"/>
        </w:rPr>
        <w:t>2</w:t>
      </w:r>
      <w:r>
        <w:rPr>
          <w:sz w:val="24"/>
          <w:vertAlign w:val="baseline"/>
        </w:rPr>
        <w:t>,</w:t>
      </w:r>
      <w:r>
        <w:rPr>
          <w:spacing w:val="-4"/>
          <w:sz w:val="24"/>
          <w:vertAlign w:val="baseline"/>
        </w:rPr>
        <w:t> </w:t>
      </w:r>
      <w:r>
        <w:rPr>
          <w:sz w:val="24"/>
          <w:vertAlign w:val="baseline"/>
        </w:rPr>
        <w:t>Keith</w:t>
      </w:r>
      <w:r>
        <w:rPr>
          <w:spacing w:val="-4"/>
          <w:sz w:val="24"/>
          <w:vertAlign w:val="baseline"/>
        </w:rPr>
        <w:t> </w:t>
      </w:r>
      <w:r>
        <w:rPr>
          <w:sz w:val="24"/>
          <w:vertAlign w:val="baseline"/>
        </w:rPr>
        <w:t>Castro</w:t>
      </w:r>
      <w:r>
        <w:rPr>
          <w:sz w:val="24"/>
          <w:vertAlign w:val="superscript"/>
        </w:rPr>
        <w:t>2</w:t>
      </w:r>
      <w:r>
        <w:rPr>
          <w:sz w:val="24"/>
          <w:vertAlign w:val="baseline"/>
        </w:rPr>
        <w:t>, Jay Aromin</w:t>
      </w:r>
      <w:r>
        <w:rPr>
          <w:sz w:val="24"/>
          <w:vertAlign w:val="superscript"/>
        </w:rPr>
        <w:t>2</w:t>
      </w:r>
      <w:r>
        <w:rPr>
          <w:sz w:val="24"/>
          <w:vertAlign w:val="baseline"/>
        </w:rPr>
        <w:t>, Joey Quenga</w:t>
      </w:r>
      <w:r>
        <w:rPr>
          <w:sz w:val="24"/>
          <w:vertAlign w:val="superscript"/>
        </w:rPr>
        <w:t>2</w:t>
      </w:r>
      <w:r>
        <w:rPr>
          <w:sz w:val="24"/>
          <w:vertAlign w:val="baseline"/>
        </w:rPr>
        <w:t> and Jacqueline Tran</w:t>
      </w:r>
      <w:r>
        <w:rPr>
          <w:sz w:val="24"/>
          <w:vertAlign w:val="superscript"/>
        </w:rPr>
        <w:t>3</w:t>
      </w:r>
    </w:p>
    <w:p>
      <w:pPr>
        <w:spacing w:before="231"/>
        <w:ind w:left="1" w:right="0" w:firstLine="0"/>
        <w:jc w:val="center"/>
        <w:rPr>
          <w:i/>
          <w:sz w:val="24"/>
        </w:rPr>
      </w:pPr>
      <w:r>
        <w:rPr>
          <w:i/>
          <w:sz w:val="24"/>
          <w:vertAlign w:val="superscript"/>
        </w:rPr>
        <w:t>1</w:t>
      </w:r>
      <w:r>
        <w:rPr>
          <w:i/>
          <w:sz w:val="24"/>
          <w:vertAlign w:val="baseline"/>
        </w:rPr>
        <w:t>University</w:t>
      </w:r>
      <w:r>
        <w:rPr>
          <w:i/>
          <w:spacing w:val="-2"/>
          <w:sz w:val="24"/>
          <w:vertAlign w:val="baseline"/>
        </w:rPr>
        <w:t> </w:t>
      </w:r>
      <w:r>
        <w:rPr>
          <w:i/>
          <w:sz w:val="24"/>
          <w:vertAlign w:val="baseline"/>
        </w:rPr>
        <w:t>of</w:t>
      </w:r>
      <w:r>
        <w:rPr>
          <w:i/>
          <w:spacing w:val="-1"/>
          <w:sz w:val="24"/>
          <w:vertAlign w:val="baseline"/>
        </w:rPr>
        <w:t> </w:t>
      </w:r>
      <w:r>
        <w:rPr>
          <w:i/>
          <w:sz w:val="24"/>
          <w:vertAlign w:val="baseline"/>
        </w:rPr>
        <w:t>California,</w:t>
      </w:r>
      <w:r>
        <w:rPr>
          <w:i/>
          <w:spacing w:val="-2"/>
          <w:sz w:val="24"/>
          <w:vertAlign w:val="baseline"/>
        </w:rPr>
        <w:t> </w:t>
      </w:r>
      <w:r>
        <w:rPr>
          <w:i/>
          <w:sz w:val="24"/>
          <w:vertAlign w:val="baseline"/>
        </w:rPr>
        <w:t>Los</w:t>
      </w:r>
      <w:r>
        <w:rPr>
          <w:i/>
          <w:spacing w:val="-1"/>
          <w:sz w:val="24"/>
          <w:vertAlign w:val="baseline"/>
        </w:rPr>
        <w:t> </w:t>
      </w:r>
      <w:r>
        <w:rPr>
          <w:i/>
          <w:spacing w:val="-2"/>
          <w:sz w:val="24"/>
          <w:vertAlign w:val="baseline"/>
        </w:rPr>
        <w:t>Angeles</w:t>
      </w:r>
    </w:p>
    <w:p>
      <w:pPr>
        <w:spacing w:before="0"/>
        <w:ind w:left="0" w:right="0" w:firstLine="0"/>
        <w:jc w:val="center"/>
        <w:rPr>
          <w:i/>
          <w:sz w:val="24"/>
        </w:rPr>
      </w:pPr>
      <w:r>
        <w:rPr>
          <w:i/>
          <w:sz w:val="24"/>
          <w:vertAlign w:val="superscript"/>
        </w:rPr>
        <w:t>2</w:t>
      </w:r>
      <w:r>
        <w:rPr>
          <w:i/>
          <w:sz w:val="24"/>
          <w:vertAlign w:val="baseline"/>
        </w:rPr>
        <w:t>Guam</w:t>
      </w:r>
      <w:r>
        <w:rPr>
          <w:i/>
          <w:spacing w:val="-1"/>
          <w:sz w:val="24"/>
          <w:vertAlign w:val="baseline"/>
        </w:rPr>
        <w:t> </w:t>
      </w:r>
      <w:r>
        <w:rPr>
          <w:i/>
          <w:sz w:val="24"/>
          <w:vertAlign w:val="baseline"/>
        </w:rPr>
        <w:t>Communications </w:t>
      </w:r>
      <w:r>
        <w:rPr>
          <w:i/>
          <w:spacing w:val="-2"/>
          <w:sz w:val="24"/>
          <w:vertAlign w:val="baseline"/>
        </w:rPr>
        <w:t>Network</w:t>
      </w:r>
    </w:p>
    <w:p>
      <w:pPr>
        <w:spacing w:before="0"/>
        <w:ind w:left="0" w:right="0" w:firstLine="0"/>
        <w:jc w:val="center"/>
        <w:rPr>
          <w:i/>
          <w:sz w:val="24"/>
        </w:rPr>
      </w:pPr>
      <w:r>
        <w:rPr>
          <w:i/>
          <w:sz w:val="24"/>
          <w:vertAlign w:val="superscript"/>
        </w:rPr>
        <w:t>3</w:t>
      </w:r>
      <w:r>
        <w:rPr>
          <w:i/>
          <w:sz w:val="24"/>
          <w:vertAlign w:val="baseline"/>
        </w:rPr>
        <w:t>Orange</w:t>
      </w:r>
      <w:r>
        <w:rPr>
          <w:i/>
          <w:spacing w:val="-3"/>
          <w:sz w:val="24"/>
          <w:vertAlign w:val="baseline"/>
        </w:rPr>
        <w:t> </w:t>
      </w:r>
      <w:r>
        <w:rPr>
          <w:i/>
          <w:sz w:val="24"/>
          <w:vertAlign w:val="baseline"/>
        </w:rPr>
        <w:t>County</w:t>
      </w:r>
      <w:r>
        <w:rPr>
          <w:i/>
          <w:spacing w:val="-1"/>
          <w:sz w:val="24"/>
          <w:vertAlign w:val="baseline"/>
        </w:rPr>
        <w:t> </w:t>
      </w:r>
      <w:r>
        <w:rPr>
          <w:i/>
          <w:sz w:val="24"/>
          <w:vertAlign w:val="baseline"/>
        </w:rPr>
        <w:t>Asian</w:t>
      </w:r>
      <w:r>
        <w:rPr>
          <w:i/>
          <w:spacing w:val="-1"/>
          <w:sz w:val="24"/>
          <w:vertAlign w:val="baseline"/>
        </w:rPr>
        <w:t> </w:t>
      </w:r>
      <w:r>
        <w:rPr>
          <w:i/>
          <w:sz w:val="24"/>
          <w:vertAlign w:val="baseline"/>
        </w:rPr>
        <w:t>and Pacific</w:t>
      </w:r>
      <w:r>
        <w:rPr>
          <w:i/>
          <w:spacing w:val="-1"/>
          <w:sz w:val="24"/>
          <w:vertAlign w:val="baseline"/>
        </w:rPr>
        <w:t> </w:t>
      </w:r>
      <w:r>
        <w:rPr>
          <w:i/>
          <w:sz w:val="24"/>
          <w:vertAlign w:val="baseline"/>
        </w:rPr>
        <w:t>Islander</w:t>
      </w:r>
      <w:r>
        <w:rPr>
          <w:i/>
          <w:spacing w:val="-1"/>
          <w:sz w:val="24"/>
          <w:vertAlign w:val="baseline"/>
        </w:rPr>
        <w:t> </w:t>
      </w:r>
      <w:r>
        <w:rPr>
          <w:i/>
          <w:sz w:val="24"/>
          <w:vertAlign w:val="baseline"/>
        </w:rPr>
        <w:t>Community</w:t>
      </w:r>
      <w:r>
        <w:rPr>
          <w:i/>
          <w:spacing w:val="-2"/>
          <w:sz w:val="24"/>
          <w:vertAlign w:val="baseline"/>
        </w:rPr>
        <w:t> Alliance</w:t>
      </w:r>
    </w:p>
    <w:p>
      <w:pPr>
        <w:pStyle w:val="BodyText"/>
        <w:ind w:left="0"/>
        <w:rPr>
          <w:i/>
          <w:sz w:val="24"/>
        </w:rPr>
      </w:pPr>
    </w:p>
    <w:p>
      <w:pPr>
        <w:pStyle w:val="BodyText"/>
        <w:spacing w:before="7"/>
        <w:ind w:left="0"/>
        <w:rPr>
          <w:i/>
          <w:sz w:val="24"/>
        </w:rPr>
      </w:pPr>
    </w:p>
    <w:p>
      <w:pPr>
        <w:spacing w:before="0"/>
        <w:ind w:left="0" w:right="0" w:firstLine="0"/>
        <w:jc w:val="center"/>
        <w:rPr>
          <w:b/>
          <w:sz w:val="24"/>
        </w:rPr>
      </w:pPr>
      <w:r>
        <w:rPr>
          <w:b/>
          <w:spacing w:val="-2"/>
          <w:sz w:val="24"/>
        </w:rPr>
        <w:t>Abstract</w:t>
      </w:r>
    </w:p>
    <w:p>
      <w:pPr>
        <w:pStyle w:val="BodyText"/>
        <w:spacing w:before="132"/>
        <w:ind w:left="0"/>
        <w:rPr>
          <w:b/>
          <w:sz w:val="24"/>
        </w:rPr>
      </w:pPr>
    </w:p>
    <w:p>
      <w:pPr>
        <w:pStyle w:val="BodyText"/>
        <w:ind w:right="112"/>
        <w:jc w:val="both"/>
      </w:pPr>
      <w:r>
        <w:rPr>
          <w:b/>
        </w:rPr>
        <w:t>Objective</w:t>
      </w:r>
      <w:r>
        <w:rPr/>
        <w:t>: We describe the development of a community and academic research partnership, share reflections on processes for collaborations, and identify key factors for establishing strong and effective relationships to foster high-quality research. </w:t>
      </w:r>
      <w:r>
        <w:rPr>
          <w:b/>
        </w:rPr>
        <w:t>Background</w:t>
      </w:r>
      <w:r>
        <w:rPr/>
        <w:t>: A community-based participatory research (CBPR) effort evaluating a community-based patient navigation program assisting Chamorro women to access breast cancer services in Southern California served as the foundation for the development of the community-academic partnership. </w:t>
      </w:r>
      <w:r>
        <w:rPr>
          <w:b/>
        </w:rPr>
        <w:t>Methods</w:t>
      </w:r>
      <w:r>
        <w:rPr/>
        <w:t>: Using a CBPR approach focusing on active involvement of community members, organizational representatives, and academic researchers in all aspects of research process, faculty from a research university and a local community-based organization were brought together to build a partnership. Community and academic partners engaged in a series of meetings where dialogue focused on developing and nurturing trust and shared values, respect for community knowledge, and establishing community-defined and prioritized needs and goals. Partners have also focused on defining and developing explicit structures and policies to implement an equal partnership. </w:t>
      </w:r>
      <w:r>
        <w:rPr>
          <w:b/>
        </w:rPr>
        <w:t>Results</w:t>
      </w:r>
      <w:r>
        <w:rPr/>
        <w:t>: Experiences</w:t>
      </w:r>
      <w:r>
        <w:rPr>
          <w:spacing w:val="-2"/>
        </w:rPr>
        <w:t> </w:t>
      </w:r>
      <w:r>
        <w:rPr/>
        <w:t>and</w:t>
      </w:r>
      <w:r>
        <w:rPr>
          <w:spacing w:val="-2"/>
        </w:rPr>
        <w:t> </w:t>
      </w:r>
      <w:r>
        <w:rPr/>
        <w:t>lessons</w:t>
      </w:r>
      <w:r>
        <w:rPr>
          <w:spacing w:val="-2"/>
        </w:rPr>
        <w:t> </w:t>
      </w:r>
      <w:r>
        <w:rPr/>
        <w:t>learned</w:t>
      </w:r>
      <w:r>
        <w:rPr>
          <w:spacing w:val="-2"/>
        </w:rPr>
        <w:t> </w:t>
      </w:r>
      <w:r>
        <w:rPr/>
        <w:t>are shared,</w:t>
      </w:r>
      <w:r>
        <w:rPr>
          <w:spacing w:val="-2"/>
        </w:rPr>
        <w:t> </w:t>
      </w:r>
      <w:r>
        <w:rPr/>
        <w:t>reflecting</w:t>
      </w:r>
      <w:r>
        <w:rPr>
          <w:spacing w:val="-3"/>
        </w:rPr>
        <w:t> </w:t>
      </w:r>
      <w:r>
        <w:rPr/>
        <w:t>the processes of</w:t>
      </w:r>
      <w:r>
        <w:rPr>
          <w:spacing w:val="-2"/>
        </w:rPr>
        <w:t> </w:t>
      </w:r>
      <w:r>
        <w:rPr/>
        <w:t>relationship</w:t>
      </w:r>
      <w:r>
        <w:rPr>
          <w:spacing w:val="-3"/>
        </w:rPr>
        <w:t> </w:t>
      </w:r>
      <w:r>
        <w:rPr/>
        <w:t>building, and</w:t>
      </w:r>
      <w:r>
        <w:rPr>
          <w:spacing w:val="-2"/>
        </w:rPr>
        <w:t> </w:t>
      </w:r>
      <w:r>
        <w:rPr/>
        <w:t>planning and implementing</w:t>
      </w:r>
      <w:r>
        <w:rPr>
          <w:spacing w:val="-3"/>
        </w:rPr>
        <w:t> </w:t>
      </w:r>
      <w:r>
        <w:rPr/>
        <w:t>preliminary</w:t>
      </w:r>
      <w:r>
        <w:rPr>
          <w:spacing w:val="-3"/>
        </w:rPr>
        <w:t> </w:t>
      </w:r>
      <w:r>
        <w:rPr/>
        <w:t>research steps. </w:t>
      </w:r>
      <w:r>
        <w:rPr>
          <w:b/>
        </w:rPr>
        <w:t>Lessons</w:t>
      </w:r>
      <w:r>
        <w:rPr>
          <w:b/>
          <w:spacing w:val="-2"/>
        </w:rPr>
        <w:t> </w:t>
      </w:r>
      <w:r>
        <w:rPr>
          <w:b/>
        </w:rPr>
        <w:t>Learned</w:t>
      </w:r>
      <w:r>
        <w:rPr/>
        <w:t>: Adequate time for relationship-building, open and honest communication, flexibility, and ongoing examination of assumptions are keys to developing successful CBPR partnerships.</w:t>
      </w:r>
    </w:p>
    <w:p>
      <w:pPr>
        <w:pStyle w:val="BodyText"/>
        <w:ind w:left="0"/>
      </w:pPr>
    </w:p>
    <w:p>
      <w:pPr>
        <w:spacing w:before="0"/>
        <w:ind w:left="120" w:right="0" w:firstLine="0"/>
        <w:jc w:val="both"/>
        <w:rPr>
          <w:sz w:val="20"/>
        </w:rPr>
      </w:pPr>
      <w:r>
        <w:rPr>
          <w:sz w:val="20"/>
        </w:rPr>
        <w:t>©</w:t>
      </w:r>
      <w:r>
        <w:rPr>
          <w:spacing w:val="-5"/>
          <w:sz w:val="20"/>
        </w:rPr>
        <w:t> </w:t>
      </w:r>
      <w:r>
        <w:rPr>
          <w:sz w:val="20"/>
        </w:rPr>
        <w:t>2010</w:t>
      </w:r>
      <w:r>
        <w:rPr>
          <w:spacing w:val="-4"/>
          <w:sz w:val="20"/>
        </w:rPr>
        <w:t> </w:t>
      </w:r>
      <w:r>
        <w:rPr>
          <w:sz w:val="20"/>
        </w:rPr>
        <w:t>Californian</w:t>
      </w:r>
      <w:r>
        <w:rPr>
          <w:spacing w:val="-5"/>
          <w:sz w:val="20"/>
        </w:rPr>
        <w:t> </w:t>
      </w:r>
      <w:r>
        <w:rPr>
          <w:sz w:val="20"/>
        </w:rPr>
        <w:t>Journal</w:t>
      </w:r>
      <w:r>
        <w:rPr>
          <w:spacing w:val="-5"/>
          <w:sz w:val="20"/>
        </w:rPr>
        <w:t> </w:t>
      </w:r>
      <w:r>
        <w:rPr>
          <w:sz w:val="20"/>
        </w:rPr>
        <w:t>of</w:t>
      </w:r>
      <w:r>
        <w:rPr>
          <w:spacing w:val="-5"/>
          <w:sz w:val="20"/>
        </w:rPr>
        <w:t> </w:t>
      </w:r>
      <w:r>
        <w:rPr>
          <w:sz w:val="20"/>
        </w:rPr>
        <w:t>Health</w:t>
      </w:r>
      <w:r>
        <w:rPr>
          <w:spacing w:val="-6"/>
          <w:sz w:val="20"/>
        </w:rPr>
        <w:t> </w:t>
      </w:r>
      <w:r>
        <w:rPr>
          <w:sz w:val="20"/>
        </w:rPr>
        <w:t>Promotion.</w:t>
      </w:r>
      <w:r>
        <w:rPr>
          <w:spacing w:val="-2"/>
          <w:sz w:val="20"/>
        </w:rPr>
        <w:t> </w:t>
      </w:r>
      <w:r>
        <w:rPr>
          <w:sz w:val="20"/>
        </w:rPr>
        <w:t>All</w:t>
      </w:r>
      <w:r>
        <w:rPr>
          <w:spacing w:val="-6"/>
          <w:sz w:val="20"/>
        </w:rPr>
        <w:t> </w:t>
      </w:r>
      <w:r>
        <w:rPr>
          <w:sz w:val="20"/>
        </w:rPr>
        <w:t>rights</w:t>
      </w:r>
      <w:r>
        <w:rPr>
          <w:spacing w:val="-5"/>
          <w:sz w:val="20"/>
        </w:rPr>
        <w:t> </w:t>
      </w:r>
      <w:r>
        <w:rPr>
          <w:spacing w:val="-2"/>
          <w:sz w:val="20"/>
        </w:rPr>
        <w:t>reserved.</w:t>
      </w:r>
    </w:p>
    <w:p>
      <w:pPr>
        <w:spacing w:before="1"/>
        <w:ind w:left="120" w:right="116" w:firstLine="0"/>
        <w:jc w:val="left"/>
        <w:rPr>
          <w:i/>
          <w:sz w:val="20"/>
        </w:rPr>
      </w:pPr>
      <w:r>
        <w:rPr>
          <w:i/>
          <w:sz w:val="20"/>
        </w:rPr>
        <w:t>Keywords:</w:t>
      </w:r>
      <w:r>
        <w:rPr>
          <w:i/>
          <w:spacing w:val="-3"/>
          <w:sz w:val="20"/>
        </w:rPr>
        <w:t> </w:t>
      </w:r>
      <w:r>
        <w:rPr>
          <w:i/>
          <w:sz w:val="20"/>
        </w:rPr>
        <w:t>Community-Based,</w:t>
      </w:r>
      <w:r>
        <w:rPr>
          <w:i/>
          <w:spacing w:val="-7"/>
          <w:sz w:val="20"/>
        </w:rPr>
        <w:t> </w:t>
      </w:r>
      <w:r>
        <w:rPr>
          <w:i/>
          <w:sz w:val="20"/>
        </w:rPr>
        <w:t>Participatory</w:t>
      </w:r>
      <w:r>
        <w:rPr>
          <w:i/>
          <w:spacing w:val="-5"/>
          <w:sz w:val="20"/>
        </w:rPr>
        <w:t> </w:t>
      </w:r>
      <w:r>
        <w:rPr>
          <w:i/>
          <w:sz w:val="20"/>
        </w:rPr>
        <w:t>Research,</w:t>
      </w:r>
      <w:r>
        <w:rPr>
          <w:i/>
          <w:spacing w:val="-5"/>
          <w:sz w:val="20"/>
        </w:rPr>
        <w:t> </w:t>
      </w:r>
      <w:r>
        <w:rPr>
          <w:i/>
          <w:sz w:val="20"/>
        </w:rPr>
        <w:t>Community-Engaged</w:t>
      </w:r>
      <w:r>
        <w:rPr>
          <w:i/>
          <w:spacing w:val="-5"/>
          <w:sz w:val="20"/>
        </w:rPr>
        <w:t> </w:t>
      </w:r>
      <w:r>
        <w:rPr>
          <w:i/>
          <w:sz w:val="20"/>
        </w:rPr>
        <w:t>Research,</w:t>
      </w:r>
      <w:r>
        <w:rPr>
          <w:i/>
          <w:spacing w:val="-7"/>
          <w:sz w:val="20"/>
        </w:rPr>
        <w:t> </w:t>
      </w:r>
      <w:r>
        <w:rPr>
          <w:i/>
          <w:sz w:val="20"/>
        </w:rPr>
        <w:t>Pacific</w:t>
      </w:r>
      <w:r>
        <w:rPr>
          <w:i/>
          <w:spacing w:val="-5"/>
          <w:sz w:val="20"/>
        </w:rPr>
        <w:t> </w:t>
      </w:r>
      <w:r>
        <w:rPr>
          <w:i/>
          <w:sz w:val="20"/>
        </w:rPr>
        <w:t>Islander,</w:t>
      </w:r>
      <w:r>
        <w:rPr>
          <w:i/>
          <w:spacing w:val="-5"/>
          <w:sz w:val="20"/>
        </w:rPr>
        <w:t> </w:t>
      </w:r>
      <w:r>
        <w:rPr>
          <w:i/>
          <w:sz w:val="20"/>
        </w:rPr>
        <w:t>Patient</w:t>
      </w:r>
      <w:r>
        <w:rPr>
          <w:i/>
          <w:sz w:val="20"/>
        </w:rPr>
        <w:t> </w:t>
      </w:r>
      <w:r>
        <w:rPr>
          <w:i/>
          <w:spacing w:val="-2"/>
          <w:sz w:val="20"/>
        </w:rPr>
        <w:t>Navigation</w:t>
      </w:r>
    </w:p>
    <w:p>
      <w:pPr>
        <w:pStyle w:val="BodyText"/>
        <w:spacing w:before="186"/>
        <w:ind w:left="0"/>
        <w:rPr>
          <w:i/>
          <w:sz w:val="20"/>
        </w:rPr>
      </w:pPr>
    </w:p>
    <w:p>
      <w:pPr>
        <w:spacing w:after="0"/>
        <w:rPr>
          <w:sz w:val="20"/>
        </w:rPr>
        <w:sectPr>
          <w:headerReference w:type="default" r:id="rId5"/>
          <w:footerReference w:type="default" r:id="rId6"/>
          <w:type w:val="continuous"/>
          <w:pgSz w:w="12240" w:h="15840"/>
          <w:pgMar w:header="721" w:footer="792" w:top="1340" w:bottom="980" w:left="1320" w:right="1320"/>
          <w:pgNumType w:start="39"/>
        </w:sectPr>
      </w:pPr>
    </w:p>
    <w:p>
      <w:pPr>
        <w:pStyle w:val="Heading1"/>
        <w:spacing w:before="96"/>
        <w:ind w:left="77"/>
        <w:jc w:val="center"/>
      </w:pPr>
      <w:r>
        <w:rPr>
          <w:spacing w:val="-2"/>
        </w:rPr>
        <w:t>Introduction</w:t>
      </w:r>
    </w:p>
    <w:p>
      <w:pPr>
        <w:pStyle w:val="BodyText"/>
        <w:spacing w:before="246"/>
        <w:ind w:right="38"/>
        <w:jc w:val="both"/>
      </w:pPr>
      <w:r>
        <w:rPr/>
        <w:t>Pacific Islanders in the U.S. experience disparities in access to care leading to late stage breast cancer diagnosis and alarming disparities in 5-year cancer survival rates (Goggins, 2007). Community Based, Participatory Research (CBPR) approaches, characterized by full partnership among community stakeholders and academic researchers, are the subject of increasing</w:t>
      </w:r>
      <w:r>
        <w:rPr>
          <w:spacing w:val="-7"/>
        </w:rPr>
        <w:t> </w:t>
      </w:r>
      <w:r>
        <w:rPr/>
        <w:t>interest</w:t>
      </w:r>
      <w:r>
        <w:rPr>
          <w:spacing w:val="-6"/>
        </w:rPr>
        <w:t> </w:t>
      </w:r>
      <w:r>
        <w:rPr/>
        <w:t>in</w:t>
      </w:r>
      <w:r>
        <w:rPr>
          <w:spacing w:val="-7"/>
        </w:rPr>
        <w:t> </w:t>
      </w:r>
      <w:r>
        <w:rPr/>
        <w:t>the</w:t>
      </w:r>
      <w:r>
        <w:rPr>
          <w:spacing w:val="-6"/>
        </w:rPr>
        <w:t> </w:t>
      </w:r>
      <w:r>
        <w:rPr/>
        <w:t>fight</w:t>
      </w:r>
      <w:r>
        <w:rPr>
          <w:spacing w:val="-3"/>
        </w:rPr>
        <w:t> </w:t>
      </w:r>
      <w:r>
        <w:rPr/>
        <w:t>to</w:t>
      </w:r>
      <w:r>
        <w:rPr>
          <w:spacing w:val="-4"/>
        </w:rPr>
        <w:t> </w:t>
      </w:r>
      <w:r>
        <w:rPr/>
        <w:t>eliminate</w:t>
      </w:r>
      <w:r>
        <w:rPr>
          <w:spacing w:val="-4"/>
        </w:rPr>
        <w:t> </w:t>
      </w:r>
      <w:r>
        <w:rPr/>
        <w:t>health disparities,</w:t>
      </w:r>
      <w:r>
        <w:rPr>
          <w:spacing w:val="19"/>
        </w:rPr>
        <w:t> </w:t>
      </w:r>
      <w:r>
        <w:rPr/>
        <w:t>and</w:t>
      </w:r>
      <w:r>
        <w:rPr>
          <w:spacing w:val="22"/>
        </w:rPr>
        <w:t> </w:t>
      </w:r>
      <w:r>
        <w:rPr/>
        <w:t>hold</w:t>
      </w:r>
      <w:r>
        <w:rPr>
          <w:spacing w:val="22"/>
        </w:rPr>
        <w:t> </w:t>
      </w:r>
      <w:r>
        <w:rPr/>
        <w:t>significant</w:t>
      </w:r>
      <w:r>
        <w:rPr>
          <w:spacing w:val="22"/>
        </w:rPr>
        <w:t> </w:t>
      </w:r>
      <w:r>
        <w:rPr/>
        <w:t>promise</w:t>
      </w:r>
      <w:r>
        <w:rPr>
          <w:spacing w:val="23"/>
        </w:rPr>
        <w:t> </w:t>
      </w:r>
      <w:r>
        <w:rPr/>
        <w:t>for</w:t>
      </w:r>
      <w:r>
        <w:rPr>
          <w:spacing w:val="23"/>
        </w:rPr>
        <w:t> </w:t>
      </w:r>
      <w:r>
        <w:rPr>
          <w:spacing w:val="-5"/>
        </w:rPr>
        <w:t>the</w:t>
      </w:r>
    </w:p>
    <w:p>
      <w:pPr>
        <w:pStyle w:val="BodyText"/>
        <w:spacing w:before="91"/>
        <w:ind w:right="119"/>
        <w:jc w:val="both"/>
      </w:pPr>
      <w:r>
        <w:rPr/>
        <w:br w:type="column"/>
      </w:r>
      <w:r>
        <w:rPr/>
        <w:t>conduct of research concerning racial and ethnic minorities, including Pacific Islanders.</w:t>
      </w:r>
    </w:p>
    <w:p>
      <w:pPr>
        <w:pStyle w:val="BodyText"/>
        <w:ind w:left="0"/>
      </w:pPr>
    </w:p>
    <w:p>
      <w:pPr>
        <w:pStyle w:val="BodyText"/>
        <w:ind w:right="114"/>
        <w:jc w:val="both"/>
      </w:pPr>
      <w:r>
        <w:rPr/>
        <w:t>The purpose of this paper is to present</w:t>
      </w:r>
      <w:r>
        <w:rPr>
          <w:spacing w:val="40"/>
        </w:rPr>
        <w:t> </w:t>
      </w:r>
      <w:r>
        <w:rPr/>
        <w:t>reflections of community and academic research partners as they engage in the process of developing a new community-academic partnership,</w:t>
      </w:r>
      <w:r>
        <w:rPr>
          <w:spacing w:val="-3"/>
        </w:rPr>
        <w:t> </w:t>
      </w:r>
      <w:r>
        <w:rPr/>
        <w:t>with</w:t>
      </w:r>
      <w:r>
        <w:rPr>
          <w:spacing w:val="-5"/>
        </w:rPr>
        <w:t> </w:t>
      </w:r>
      <w:r>
        <w:rPr/>
        <w:t>the</w:t>
      </w:r>
      <w:r>
        <w:rPr>
          <w:spacing w:val="-3"/>
        </w:rPr>
        <w:t> </w:t>
      </w:r>
      <w:r>
        <w:rPr/>
        <w:t>goal</w:t>
      </w:r>
      <w:r>
        <w:rPr>
          <w:spacing w:val="-4"/>
        </w:rPr>
        <w:t> </w:t>
      </w:r>
      <w:r>
        <w:rPr/>
        <w:t>of</w:t>
      </w:r>
      <w:r>
        <w:rPr>
          <w:spacing w:val="-2"/>
        </w:rPr>
        <w:t> </w:t>
      </w:r>
      <w:r>
        <w:rPr/>
        <w:t>conducting</w:t>
      </w:r>
      <w:r>
        <w:rPr>
          <w:spacing w:val="-6"/>
        </w:rPr>
        <w:t> </w:t>
      </w:r>
      <w:r>
        <w:rPr/>
        <w:t>research evaluating a Chamorro community-led patient navigation program to reduce cancer disparities. We will review the health disparities facing Chamorros</w:t>
      </w:r>
      <w:r>
        <w:rPr>
          <w:spacing w:val="27"/>
        </w:rPr>
        <w:t>  </w:t>
      </w:r>
      <w:r>
        <w:rPr/>
        <w:t>and</w:t>
      </w:r>
      <w:r>
        <w:rPr>
          <w:spacing w:val="27"/>
        </w:rPr>
        <w:t>  </w:t>
      </w:r>
      <w:r>
        <w:rPr/>
        <w:t>other</w:t>
      </w:r>
      <w:r>
        <w:rPr>
          <w:spacing w:val="27"/>
        </w:rPr>
        <w:t>  </w:t>
      </w:r>
      <w:r>
        <w:rPr/>
        <w:t>Pacific</w:t>
      </w:r>
      <w:r>
        <w:rPr>
          <w:spacing w:val="27"/>
        </w:rPr>
        <w:t>  </w:t>
      </w:r>
      <w:r>
        <w:rPr/>
        <w:t>Islanders,</w:t>
      </w:r>
      <w:r>
        <w:rPr>
          <w:spacing w:val="28"/>
        </w:rPr>
        <w:t>  </w:t>
      </w:r>
      <w:r>
        <w:rPr>
          <w:spacing w:val="-5"/>
        </w:rPr>
        <w:t>the</w:t>
      </w:r>
    </w:p>
    <w:p>
      <w:pPr>
        <w:spacing w:after="0"/>
        <w:jc w:val="both"/>
        <w:sectPr>
          <w:type w:val="continuous"/>
          <w:pgSz w:w="12240" w:h="15840"/>
          <w:pgMar w:header="721" w:footer="792" w:top="1340" w:bottom="980" w:left="1320" w:right="1320"/>
          <w:cols w:num="2" w:equalWidth="0">
            <w:col w:w="4484" w:space="557"/>
            <w:col w:w="4559"/>
          </w:cols>
        </w:sectPr>
      </w:pPr>
    </w:p>
    <w:p>
      <w:pPr>
        <w:pStyle w:val="BodyText"/>
        <w:spacing w:before="81"/>
        <w:ind w:right="39"/>
        <w:jc w:val="both"/>
      </w:pPr>
      <w:r>
        <w:rPr/>
        <w:t>theoretical</w:t>
      </w:r>
      <w:r>
        <w:rPr>
          <w:spacing w:val="-1"/>
        </w:rPr>
        <w:t> </w:t>
      </w:r>
      <w:r>
        <w:rPr/>
        <w:t>principles</w:t>
      </w:r>
      <w:r>
        <w:rPr>
          <w:spacing w:val="-1"/>
        </w:rPr>
        <w:t> </w:t>
      </w:r>
      <w:r>
        <w:rPr/>
        <w:t>of</w:t>
      </w:r>
      <w:r>
        <w:rPr>
          <w:spacing w:val="-1"/>
        </w:rPr>
        <w:t> </w:t>
      </w:r>
      <w:r>
        <w:rPr/>
        <w:t>CBPR</w:t>
      </w:r>
      <w:r>
        <w:rPr>
          <w:spacing w:val="-3"/>
        </w:rPr>
        <w:t> </w:t>
      </w:r>
      <w:r>
        <w:rPr/>
        <w:t>and</w:t>
      </w:r>
      <w:r>
        <w:rPr>
          <w:spacing w:val="-2"/>
        </w:rPr>
        <w:t> </w:t>
      </w:r>
      <w:r>
        <w:rPr/>
        <w:t>how</w:t>
      </w:r>
      <w:r>
        <w:rPr>
          <w:spacing w:val="-3"/>
        </w:rPr>
        <w:t> </w:t>
      </w:r>
      <w:r>
        <w:rPr/>
        <w:t>we</w:t>
      </w:r>
      <w:r>
        <w:rPr>
          <w:spacing w:val="-2"/>
        </w:rPr>
        <w:t> </w:t>
      </w:r>
      <w:r>
        <w:rPr/>
        <w:t>have sought to implement them in our partnership,</w:t>
      </w:r>
      <w:r>
        <w:rPr>
          <w:spacing w:val="40"/>
        </w:rPr>
        <w:t> </w:t>
      </w:r>
      <w:r>
        <w:rPr/>
        <w:t>and we identify key factors for establishing strong and effective relationships between academic and community researchers.</w:t>
      </w:r>
    </w:p>
    <w:p>
      <w:pPr>
        <w:pStyle w:val="Heading1"/>
        <w:spacing w:line="500" w:lineRule="atLeast" w:before="10"/>
        <w:ind w:right="1597"/>
      </w:pPr>
      <w:r>
        <w:rPr/>
        <w:t>Background</w:t>
      </w:r>
      <w:r>
        <w:rPr>
          <w:spacing w:val="-14"/>
        </w:rPr>
        <w:t> </w:t>
      </w:r>
      <w:r>
        <w:rPr/>
        <w:t>and</w:t>
      </w:r>
      <w:r>
        <w:rPr>
          <w:spacing w:val="-14"/>
        </w:rPr>
        <w:t> </w:t>
      </w:r>
      <w:r>
        <w:rPr/>
        <w:t>Significance Pacific Islander Health</w:t>
      </w:r>
    </w:p>
    <w:p>
      <w:pPr>
        <w:pStyle w:val="BodyText"/>
        <w:spacing w:before="3"/>
        <w:ind w:right="38"/>
        <w:jc w:val="both"/>
      </w:pPr>
      <w:r>
        <w:rPr/>
        <w:t>Pacific Islanders are the people of Polynesia (</w:t>
      </w:r>
      <w:r>
        <w:rPr>
          <w:i/>
        </w:rPr>
        <w:t>e.g.</w:t>
      </w:r>
      <w:r>
        <w:rPr/>
        <w:t>, Native Hawaiians, Samoans), Micronesia (</w:t>
      </w:r>
      <w:r>
        <w:rPr>
          <w:i/>
        </w:rPr>
        <w:t>e.g.</w:t>
      </w:r>
      <w:r>
        <w:rPr/>
        <w:t>, Chamorros, the indigenous people of</w:t>
      </w:r>
      <w:r>
        <w:rPr>
          <w:spacing w:val="40"/>
        </w:rPr>
        <w:t> </w:t>
      </w:r>
      <w:r>
        <w:rPr/>
        <w:t>Guam and the Northern Mariana Islands) and Melanesia (</w:t>
      </w:r>
      <w:r>
        <w:rPr>
          <w:i/>
        </w:rPr>
        <w:t>e.g.</w:t>
      </w:r>
      <w:r>
        <w:rPr/>
        <w:t>, Fijians). Existing literature generally</w:t>
      </w:r>
      <w:r>
        <w:rPr>
          <w:spacing w:val="-3"/>
        </w:rPr>
        <w:t> </w:t>
      </w:r>
      <w:r>
        <w:rPr/>
        <w:t>portrays the Asian</w:t>
      </w:r>
      <w:r>
        <w:rPr>
          <w:spacing w:val="-1"/>
        </w:rPr>
        <w:t> </w:t>
      </w:r>
      <w:r>
        <w:rPr/>
        <w:t>and Pacific Islander population in aggregate as experiencing</w:t>
      </w:r>
      <w:r>
        <w:rPr>
          <w:spacing w:val="-1"/>
        </w:rPr>
        <w:t> </w:t>
      </w:r>
      <w:r>
        <w:rPr/>
        <w:t>equal or better health than non-Hispanic whites. However, aggregating these data masks the high variability among subgroups (Tanjasiri, 1995). Chamorros are rarely specified as an ethnic subgroup in U.S. health statistics. Some reports specify Guamanian background; however, this categorization often groups Filipinos, Japanese and</w:t>
      </w:r>
      <w:r>
        <w:rPr>
          <w:spacing w:val="-3"/>
        </w:rPr>
        <w:t> </w:t>
      </w:r>
      <w:r>
        <w:rPr/>
        <w:t>other</w:t>
      </w:r>
      <w:r>
        <w:rPr>
          <w:spacing w:val="-2"/>
        </w:rPr>
        <w:t> </w:t>
      </w:r>
      <w:r>
        <w:rPr/>
        <w:t>diverse</w:t>
      </w:r>
      <w:r>
        <w:rPr>
          <w:spacing w:val="-5"/>
        </w:rPr>
        <w:t> </w:t>
      </w:r>
      <w:r>
        <w:rPr/>
        <w:t>ethnicities</w:t>
      </w:r>
      <w:r>
        <w:rPr>
          <w:spacing w:val="-3"/>
        </w:rPr>
        <w:t> </w:t>
      </w:r>
      <w:r>
        <w:rPr/>
        <w:t>living</w:t>
      </w:r>
      <w:r>
        <w:rPr>
          <w:spacing w:val="-5"/>
        </w:rPr>
        <w:t> </w:t>
      </w:r>
      <w:r>
        <w:rPr/>
        <w:t>in</w:t>
      </w:r>
      <w:r>
        <w:rPr>
          <w:spacing w:val="-3"/>
        </w:rPr>
        <w:t> </w:t>
      </w:r>
      <w:r>
        <w:rPr/>
        <w:t>Guam</w:t>
      </w:r>
      <w:r>
        <w:rPr>
          <w:spacing w:val="-5"/>
        </w:rPr>
        <w:t> </w:t>
      </w:r>
      <w:r>
        <w:rPr/>
        <w:t>with </w:t>
      </w:r>
      <w:r>
        <w:rPr>
          <w:spacing w:val="-2"/>
        </w:rPr>
        <w:t>Chamorros.</w:t>
      </w:r>
    </w:p>
    <w:p>
      <w:pPr>
        <w:pStyle w:val="BodyText"/>
        <w:spacing w:before="1"/>
        <w:ind w:left="0"/>
      </w:pPr>
    </w:p>
    <w:p>
      <w:pPr>
        <w:pStyle w:val="BodyText"/>
        <w:ind w:right="40"/>
        <w:jc w:val="both"/>
      </w:pPr>
      <w:r>
        <w:rPr/>
        <w:t>Existing data for Pacific Islanders in the U.S. indicate serious cancer disparities. Native Hawaiian women have the highest breast cancer incidence and mortality of all ethnic groups in Hawaii (Braun, 2004). Although breast cancer incidence has been</w:t>
      </w:r>
      <w:r>
        <w:rPr>
          <w:spacing w:val="-1"/>
        </w:rPr>
        <w:t> </w:t>
      </w:r>
      <w:r>
        <w:rPr/>
        <w:t>declining</w:t>
      </w:r>
      <w:r>
        <w:rPr>
          <w:spacing w:val="-3"/>
        </w:rPr>
        <w:t> </w:t>
      </w:r>
      <w:r>
        <w:rPr/>
        <w:t>over time for many ethnic groups in Los Angeles County, it has</w:t>
      </w:r>
      <w:r>
        <w:rPr>
          <w:spacing w:val="40"/>
        </w:rPr>
        <w:t> </w:t>
      </w:r>
      <w:r>
        <w:rPr/>
        <w:t>been increasing for Native Hawaiian and</w:t>
      </w:r>
      <w:r>
        <w:rPr>
          <w:spacing w:val="40"/>
        </w:rPr>
        <w:t> </w:t>
      </w:r>
      <w:r>
        <w:rPr/>
        <w:t>Samoan women (Cockburn, 2009). </w:t>
      </w:r>
      <w:r>
        <w:rPr/>
        <w:t>Moreover, Pacific Islander women experience significantly worse 5-year breast cancer survival rates than non-Hispanic whites, apparently associated with late stage at diagnosis (Goggins, 2007). These disparities are likely due, at least in part, to barriers to care spanning the care continuum, including screening, treatment and supportive services. For example, available data indicate that Chamorro women experience breast cancer screening rates that are far below national objectives (Special Services for Groups, 2001; Tanjasiri,</w:t>
      </w:r>
      <w:r>
        <w:rPr>
          <w:spacing w:val="-2"/>
        </w:rPr>
        <w:t> </w:t>
      </w:r>
      <w:r>
        <w:rPr/>
        <w:t>2001).</w:t>
      </w:r>
      <w:r>
        <w:rPr>
          <w:spacing w:val="-2"/>
        </w:rPr>
        <w:t> </w:t>
      </w:r>
      <w:r>
        <w:rPr/>
        <w:t>Focus</w:t>
      </w:r>
      <w:r>
        <w:rPr>
          <w:spacing w:val="-1"/>
        </w:rPr>
        <w:t> </w:t>
      </w:r>
      <w:r>
        <w:rPr/>
        <w:t>groups</w:t>
      </w:r>
      <w:r>
        <w:rPr>
          <w:spacing w:val="-1"/>
        </w:rPr>
        <w:t> </w:t>
      </w:r>
      <w:r>
        <w:rPr/>
        <w:t>conducted</w:t>
      </w:r>
      <w:r>
        <w:rPr>
          <w:spacing w:val="-1"/>
        </w:rPr>
        <w:t> </w:t>
      </w:r>
      <w:r>
        <w:rPr/>
        <w:t>as</w:t>
      </w:r>
      <w:r>
        <w:rPr>
          <w:spacing w:val="-3"/>
        </w:rPr>
        <w:t> </w:t>
      </w:r>
      <w:r>
        <w:rPr/>
        <w:t>part of the Promoting Access to Health for Pacific Islander and Southeast Asian Women (PATH</w:t>
      </w:r>
      <w:r>
        <w:rPr>
          <w:spacing w:val="40"/>
        </w:rPr>
        <w:t> </w:t>
      </w:r>
      <w:r>
        <w:rPr/>
        <w:t>for Women) project in Southern California indicate</w:t>
      </w:r>
      <w:r>
        <w:rPr>
          <w:spacing w:val="2"/>
        </w:rPr>
        <w:t> </w:t>
      </w:r>
      <w:r>
        <w:rPr/>
        <w:t>that cancer</w:t>
      </w:r>
      <w:r>
        <w:rPr>
          <w:spacing w:val="4"/>
        </w:rPr>
        <w:t> </w:t>
      </w:r>
      <w:r>
        <w:rPr/>
        <w:t>knowledge,</w:t>
      </w:r>
      <w:r>
        <w:rPr>
          <w:spacing w:val="2"/>
        </w:rPr>
        <w:t> </w:t>
      </w:r>
      <w:r>
        <w:rPr/>
        <w:t>attitudes,</w:t>
      </w:r>
      <w:r>
        <w:rPr>
          <w:spacing w:val="3"/>
        </w:rPr>
        <w:t> </w:t>
      </w:r>
      <w:r>
        <w:rPr>
          <w:spacing w:val="-2"/>
        </w:rPr>
        <w:t>beliefs</w:t>
      </w:r>
    </w:p>
    <w:p>
      <w:pPr>
        <w:pStyle w:val="BodyText"/>
        <w:spacing w:before="81"/>
        <w:ind w:right="113"/>
        <w:jc w:val="both"/>
      </w:pPr>
      <w:r>
        <w:rPr/>
        <w:br w:type="column"/>
      </w:r>
      <w:r>
        <w:rPr/>
        <w:t>about cancer causes, meanings of cancer, and deep distrust of the mainstream U.S. medical care system are significant barriers to care, as</w:t>
      </w:r>
      <w:r>
        <w:rPr>
          <w:spacing w:val="40"/>
        </w:rPr>
        <w:t> </w:t>
      </w:r>
      <w:r>
        <w:rPr/>
        <w:t>are structural barriers such as a lack of a regular source of care, health insurance, and transportation, as well as family care-giving responsibilities (Special Services for Groups, 2001). In particular, Chamorros in Southern California reported that lack of respect from health care providers poses a significant barrier to the use of breast health services (Special Services for Groups, 2001).</w:t>
      </w:r>
    </w:p>
    <w:p>
      <w:pPr>
        <w:pStyle w:val="BodyText"/>
        <w:spacing w:before="4"/>
        <w:ind w:left="0"/>
      </w:pPr>
    </w:p>
    <w:p>
      <w:pPr>
        <w:pStyle w:val="Heading1"/>
        <w:spacing w:line="252" w:lineRule="exact" w:before="1"/>
      </w:pPr>
      <w:r>
        <w:rPr/>
        <w:t>Who are </w:t>
      </w:r>
      <w:r>
        <w:rPr>
          <w:spacing w:val="-2"/>
        </w:rPr>
        <w:t>Chamorro?</w:t>
      </w:r>
    </w:p>
    <w:p>
      <w:pPr>
        <w:pStyle w:val="BodyText"/>
        <w:ind w:right="114"/>
        <w:jc w:val="both"/>
      </w:pPr>
      <w:r>
        <w:rPr/>
        <w:t>Chamorros are the indigenous people of the Mariana Islands, which include the American territory of Guam and the</w:t>
      </w:r>
      <w:r>
        <w:rPr>
          <w:spacing w:val="-1"/>
        </w:rPr>
        <w:t> </w:t>
      </w:r>
      <w:r>
        <w:rPr/>
        <w:t>Commonwealth of the Northern Mariana Islands in Micronesia. According to the 2000 Census, approximately 65,000 people of Chamorro ancestry live on Guam and another 19,000 live in the Northern Marianas. Significant Chamorro populations reside in several U.S. states, with over 33,000 in California, approximately 18,000 of these in Southern California.</w:t>
      </w:r>
    </w:p>
    <w:p>
      <w:pPr>
        <w:pStyle w:val="BodyText"/>
        <w:spacing w:before="3"/>
        <w:ind w:left="0"/>
      </w:pPr>
    </w:p>
    <w:p>
      <w:pPr>
        <w:pStyle w:val="Heading1"/>
        <w:spacing w:line="250" w:lineRule="exact"/>
      </w:pPr>
      <w:r>
        <w:rPr/>
        <w:t>Chamorro</w:t>
      </w:r>
      <w:r>
        <w:rPr>
          <w:spacing w:val="-4"/>
        </w:rPr>
        <w:t> </w:t>
      </w:r>
      <w:r>
        <w:rPr>
          <w:spacing w:val="-2"/>
        </w:rPr>
        <w:t>Values</w:t>
      </w:r>
    </w:p>
    <w:p>
      <w:pPr>
        <w:pStyle w:val="BodyText"/>
        <w:ind w:right="113"/>
        <w:jc w:val="both"/>
      </w:pPr>
      <w:r>
        <w:rPr/>
        <w:t>Pacific Islanders comprise diverse populations with distinct languages and cultures, but also many share common cultural values that govern their world view and relationships to one another. Examples include holism, family, and spirituality. Holism is the central element of the Pacific Islander world view: viewing all parts of the world as interconnected. Chamorros refer to this as </w:t>
      </w:r>
      <w:r>
        <w:rPr>
          <w:i/>
        </w:rPr>
        <w:t>kostumbren Chamorro </w:t>
      </w:r>
      <w:r>
        <w:rPr/>
        <w:t>(</w:t>
      </w:r>
      <w:r>
        <w:rPr>
          <w:i/>
        </w:rPr>
        <w:t>i.e</w:t>
      </w:r>
      <w:r>
        <w:rPr/>
        <w:t>., the</w:t>
      </w:r>
      <w:r>
        <w:rPr>
          <w:spacing w:val="40"/>
        </w:rPr>
        <w:t> </w:t>
      </w:r>
      <w:r>
        <w:rPr/>
        <w:t>Chamorro way of life including family, faith,</w:t>
      </w:r>
      <w:r>
        <w:rPr>
          <w:spacing w:val="40"/>
        </w:rPr>
        <w:t> </w:t>
      </w:r>
      <w:r>
        <w:rPr/>
        <w:t>and food). Pacific Islander cultures place a great emphasis and value on the family. Family includes relatives by blood, marriage and adoption. Kinship for many Pacific Islanders is viewed in the context of the entire community. Social networks are rooted in families (maternal and paternal lineage) which are an important</w:t>
      </w:r>
      <w:r>
        <w:rPr>
          <w:spacing w:val="40"/>
        </w:rPr>
        <w:t> </w:t>
      </w:r>
      <w:r>
        <w:rPr/>
        <w:t>part of one’s identity (Farrell, 1991). Social networks also dictate group and community norms and are often associated with respect for elders</w:t>
      </w:r>
      <w:r>
        <w:rPr>
          <w:spacing w:val="-5"/>
        </w:rPr>
        <w:t> </w:t>
      </w:r>
      <w:r>
        <w:rPr/>
        <w:t>and</w:t>
      </w:r>
      <w:r>
        <w:rPr>
          <w:spacing w:val="-5"/>
        </w:rPr>
        <w:t> </w:t>
      </w:r>
      <w:r>
        <w:rPr/>
        <w:t>indigenous</w:t>
      </w:r>
      <w:r>
        <w:rPr>
          <w:spacing w:val="-5"/>
        </w:rPr>
        <w:t> </w:t>
      </w:r>
      <w:r>
        <w:rPr/>
        <w:t>leaders. Spirituality</w:t>
      </w:r>
      <w:r>
        <w:rPr>
          <w:spacing w:val="-6"/>
        </w:rPr>
        <w:t> </w:t>
      </w:r>
      <w:r>
        <w:rPr/>
        <w:t>is</w:t>
      </w:r>
      <w:r>
        <w:rPr>
          <w:spacing w:val="-3"/>
        </w:rPr>
        <w:t> </w:t>
      </w:r>
      <w:r>
        <w:rPr/>
        <w:t>also a central element of the Pacific Islander world view and alludes to ancestral communication</w:t>
      </w:r>
      <w:r>
        <w:rPr>
          <w:spacing w:val="40"/>
        </w:rPr>
        <w:t> </w:t>
      </w:r>
      <w:r>
        <w:rPr/>
        <w:t>and</w:t>
      </w:r>
      <w:r>
        <w:rPr>
          <w:spacing w:val="75"/>
        </w:rPr>
        <w:t>  </w:t>
      </w:r>
      <w:r>
        <w:rPr/>
        <w:t>connection</w:t>
      </w:r>
      <w:r>
        <w:rPr>
          <w:spacing w:val="74"/>
        </w:rPr>
        <w:t>  </w:t>
      </w:r>
      <w:r>
        <w:rPr/>
        <w:t>as</w:t>
      </w:r>
      <w:r>
        <w:rPr>
          <w:spacing w:val="76"/>
        </w:rPr>
        <w:t>  </w:t>
      </w:r>
      <w:r>
        <w:rPr/>
        <w:t>well</w:t>
      </w:r>
      <w:r>
        <w:rPr>
          <w:spacing w:val="74"/>
        </w:rPr>
        <w:t>  </w:t>
      </w:r>
      <w:r>
        <w:rPr/>
        <w:t>as</w:t>
      </w:r>
      <w:r>
        <w:rPr>
          <w:spacing w:val="75"/>
        </w:rPr>
        <w:t>  </w:t>
      </w:r>
      <w:r>
        <w:rPr/>
        <w:t>faith-</w:t>
      </w:r>
      <w:r>
        <w:rPr>
          <w:spacing w:val="-2"/>
        </w:rPr>
        <w:t>based</w:t>
      </w:r>
    </w:p>
    <w:p>
      <w:pPr>
        <w:spacing w:after="0"/>
        <w:jc w:val="both"/>
        <w:sectPr>
          <w:pgSz w:w="12240" w:h="15840"/>
          <w:pgMar w:header="721" w:footer="792" w:top="1340" w:bottom="980" w:left="1320" w:right="1320"/>
          <w:cols w:num="2" w:equalWidth="0">
            <w:col w:w="4484" w:space="557"/>
            <w:col w:w="4559"/>
          </w:cols>
        </w:sectPr>
      </w:pPr>
    </w:p>
    <w:p>
      <w:pPr>
        <w:pStyle w:val="BodyText"/>
        <w:spacing w:before="81"/>
        <w:ind w:right="38"/>
        <w:jc w:val="both"/>
      </w:pPr>
      <w:r>
        <w:rPr/>
        <w:t>relationships (Farrell, 1991; Bureau of Primary Health Care, 1998). Recognition of the significance of these specific Pacific Islander cultural values, and of the potential for community-based navigation, formed the basis for Guam Communications Network’s development of the </w:t>
      </w:r>
      <w:r>
        <w:rPr>
          <w:i/>
        </w:rPr>
        <w:t>Målle' </w:t>
      </w:r>
      <w:r>
        <w:rPr/>
        <w:t>(Godmother) program, a lay peer patient navigation program to assist Chamorro women with access to breast cancer services across the continuum of cancer care, from prevention and early detection, to treatment and end-of-life care.</w:t>
      </w:r>
    </w:p>
    <w:p>
      <w:pPr>
        <w:pStyle w:val="BodyText"/>
        <w:spacing w:before="4"/>
        <w:ind w:left="0"/>
      </w:pPr>
    </w:p>
    <w:p>
      <w:pPr>
        <w:pStyle w:val="Heading1"/>
        <w:spacing w:line="252" w:lineRule="exact" w:before="1"/>
      </w:pPr>
      <w:r>
        <w:rPr/>
        <w:t>Patient</w:t>
      </w:r>
      <w:r>
        <w:rPr>
          <w:spacing w:val="-6"/>
        </w:rPr>
        <w:t> </w:t>
      </w:r>
      <w:r>
        <w:rPr>
          <w:spacing w:val="-2"/>
        </w:rPr>
        <w:t>Navigation</w:t>
      </w:r>
    </w:p>
    <w:p>
      <w:pPr>
        <w:pStyle w:val="BodyText"/>
        <w:ind w:right="38"/>
        <w:jc w:val="both"/>
      </w:pPr>
      <w:r>
        <w:rPr/>
        <w:t>Patient navigation was originally conceived as</w:t>
      </w:r>
      <w:r>
        <w:rPr>
          <w:spacing w:val="40"/>
        </w:rPr>
        <w:t> </w:t>
      </w:r>
      <w:r>
        <w:rPr/>
        <w:t>an intervention to address disparities in breast cancer care in Harlem in 1990, and has been gaining attention as a promising intervention to address barriers to care experienced by underserved minority patients (Freeman, 1995; 2006). Although several studies have now described and evaluated clinic or hospital-based navigators,</w:t>
      </w:r>
      <w:r>
        <w:rPr>
          <w:spacing w:val="-4"/>
        </w:rPr>
        <w:t> </w:t>
      </w:r>
      <w:r>
        <w:rPr/>
        <w:t>few</w:t>
      </w:r>
      <w:r>
        <w:rPr>
          <w:spacing w:val="-5"/>
        </w:rPr>
        <w:t> </w:t>
      </w:r>
      <w:r>
        <w:rPr/>
        <w:t>published</w:t>
      </w:r>
      <w:r>
        <w:rPr>
          <w:spacing w:val="-4"/>
        </w:rPr>
        <w:t> </w:t>
      </w:r>
      <w:r>
        <w:rPr/>
        <w:t>studies</w:t>
      </w:r>
      <w:r>
        <w:rPr>
          <w:spacing w:val="-3"/>
        </w:rPr>
        <w:t> </w:t>
      </w:r>
      <w:r>
        <w:rPr/>
        <w:t>have</w:t>
      </w:r>
      <w:r>
        <w:rPr>
          <w:spacing w:val="-4"/>
        </w:rPr>
        <w:t> </w:t>
      </w:r>
      <w:r>
        <w:rPr/>
        <w:t>described or examined the effectiveness of community- based navigators, especially among Pacific Islanders (Wells, 2008). This model of navigation may be more likely to reach women who are not yet engaged with the healthcare system than a clinic-based model (Nguyen, 2006). Navigators in this model are more likely to be equipped with the social networks and understanding</w:t>
      </w:r>
      <w:r>
        <w:rPr>
          <w:spacing w:val="-1"/>
        </w:rPr>
        <w:t> </w:t>
      </w:r>
      <w:r>
        <w:rPr/>
        <w:t>of cultural beliefs and values, and community resources, to enable them to provide the culturally appropriate services necessary to bridge gaps between communities and</w:t>
      </w:r>
      <w:r>
        <w:rPr>
          <w:spacing w:val="40"/>
        </w:rPr>
        <w:t> </w:t>
      </w:r>
      <w:r>
        <w:rPr/>
        <w:t>healthcare providers. This approach has the potential to foster trust and build a sense of community ownership and empowerment, in</w:t>
      </w:r>
      <w:r>
        <w:rPr>
          <w:spacing w:val="40"/>
        </w:rPr>
        <w:t> </w:t>
      </w:r>
      <w:r>
        <w:rPr/>
        <w:t>turn increasing utilization and adherence (Bird, 1996;</w:t>
      </w:r>
      <w:r>
        <w:rPr>
          <w:spacing w:val="67"/>
        </w:rPr>
        <w:t> </w:t>
      </w:r>
      <w:r>
        <w:rPr/>
        <w:t>Nguyen</w:t>
      </w:r>
      <w:r>
        <w:rPr>
          <w:spacing w:val="67"/>
        </w:rPr>
        <w:t> </w:t>
      </w:r>
      <w:r>
        <w:rPr/>
        <w:t>TT,</w:t>
      </w:r>
      <w:r>
        <w:rPr>
          <w:spacing w:val="66"/>
        </w:rPr>
        <w:t> </w:t>
      </w:r>
      <w:r>
        <w:rPr/>
        <w:t>2006;</w:t>
      </w:r>
      <w:r>
        <w:rPr>
          <w:spacing w:val="66"/>
        </w:rPr>
        <w:t> </w:t>
      </w:r>
      <w:r>
        <w:rPr/>
        <w:t>Nguyen</w:t>
      </w:r>
      <w:r>
        <w:rPr>
          <w:spacing w:val="67"/>
        </w:rPr>
        <w:t> </w:t>
      </w:r>
      <w:r>
        <w:rPr/>
        <w:t>TN,</w:t>
      </w:r>
      <w:r>
        <w:rPr>
          <w:spacing w:val="67"/>
        </w:rPr>
        <w:t> </w:t>
      </w:r>
      <w:r>
        <w:rPr>
          <w:spacing w:val="-2"/>
        </w:rPr>
        <w:t>2006;</w:t>
      </w:r>
    </w:p>
    <w:p>
      <w:pPr>
        <w:pStyle w:val="BodyText"/>
        <w:spacing w:line="252" w:lineRule="exact"/>
        <w:jc w:val="both"/>
      </w:pPr>
      <w:r>
        <w:rPr/>
        <w:t>Lisovicz</w:t>
      </w:r>
      <w:r>
        <w:rPr>
          <w:spacing w:val="-5"/>
        </w:rPr>
        <w:t> </w:t>
      </w:r>
      <w:r>
        <w:rPr>
          <w:spacing w:val="-2"/>
        </w:rPr>
        <w:t>2006).</w:t>
      </w:r>
    </w:p>
    <w:p>
      <w:pPr>
        <w:pStyle w:val="BodyText"/>
        <w:spacing w:before="4"/>
        <w:ind w:left="0"/>
      </w:pPr>
    </w:p>
    <w:p>
      <w:pPr>
        <w:pStyle w:val="Heading1"/>
        <w:jc w:val="left"/>
      </w:pPr>
      <w:r>
        <w:rPr/>
        <w:t>Community-based</w:t>
      </w:r>
      <w:r>
        <w:rPr>
          <w:spacing w:val="-14"/>
        </w:rPr>
        <w:t> </w:t>
      </w:r>
      <w:r>
        <w:rPr/>
        <w:t>Participatory</w:t>
      </w:r>
      <w:r>
        <w:rPr>
          <w:spacing w:val="-14"/>
        </w:rPr>
        <w:t> </w:t>
      </w:r>
      <w:r>
        <w:rPr/>
        <w:t>Research </w:t>
      </w:r>
      <w:r>
        <w:rPr>
          <w:spacing w:val="-2"/>
        </w:rPr>
        <w:t>(CBPR)</w:t>
      </w:r>
    </w:p>
    <w:p>
      <w:pPr>
        <w:pStyle w:val="BodyText"/>
        <w:ind w:right="40"/>
        <w:jc w:val="both"/>
      </w:pPr>
      <w:r>
        <w:rPr/>
        <w:t>Community</w:t>
      </w:r>
      <w:r>
        <w:rPr>
          <w:spacing w:val="-3"/>
        </w:rPr>
        <w:t> </w:t>
      </w:r>
      <w:r>
        <w:rPr/>
        <w:t>participatory</w:t>
      </w:r>
      <w:r>
        <w:rPr>
          <w:spacing w:val="-3"/>
        </w:rPr>
        <w:t> </w:t>
      </w:r>
      <w:r>
        <w:rPr/>
        <w:t>approaches</w:t>
      </w:r>
      <w:r>
        <w:rPr>
          <w:spacing w:val="-2"/>
        </w:rPr>
        <w:t> </w:t>
      </w:r>
      <w:r>
        <w:rPr/>
        <w:t>to research are the subject of increasing interest in the fight to eliminate health disparities experienced by many racial and ethnic communities. Many</w:t>
      </w:r>
      <w:r>
        <w:rPr>
          <w:spacing w:val="40"/>
        </w:rPr>
        <w:t> </w:t>
      </w:r>
      <w:r>
        <w:rPr/>
        <w:t>racial and ethnic communities in the U.S. associate “research” with past experiences of exploitation,</w:t>
      </w:r>
      <w:r>
        <w:rPr>
          <w:spacing w:val="-9"/>
        </w:rPr>
        <w:t> </w:t>
      </w:r>
      <w:r>
        <w:rPr/>
        <w:t>leaving</w:t>
      </w:r>
      <w:r>
        <w:rPr>
          <w:spacing w:val="-9"/>
        </w:rPr>
        <w:t> </w:t>
      </w:r>
      <w:r>
        <w:rPr/>
        <w:t>communities</w:t>
      </w:r>
      <w:r>
        <w:rPr>
          <w:spacing w:val="-6"/>
        </w:rPr>
        <w:t> </w:t>
      </w:r>
      <w:r>
        <w:rPr/>
        <w:t>distrustful</w:t>
      </w:r>
      <w:r>
        <w:rPr>
          <w:spacing w:val="-5"/>
        </w:rPr>
        <w:t> and</w:t>
      </w:r>
    </w:p>
    <w:p>
      <w:pPr>
        <w:pStyle w:val="BodyText"/>
        <w:spacing w:before="81"/>
        <w:ind w:right="113"/>
        <w:jc w:val="both"/>
      </w:pPr>
      <w:r>
        <w:rPr/>
        <w:br w:type="column"/>
      </w:r>
      <w:r>
        <w:rPr/>
        <w:t>suspicious. (Tanjasiri 2002; Wells 2009).</w:t>
      </w:r>
      <w:r>
        <w:rPr>
          <w:spacing w:val="-1"/>
        </w:rPr>
        <w:t> </w:t>
      </w:r>
      <w:r>
        <w:rPr/>
        <w:t>This is particularly true of Chamorros, who recall a recent history of occupation, radiation exposure, and the loss of indigenous lands for United</w:t>
      </w:r>
      <w:r>
        <w:rPr>
          <w:spacing w:val="40"/>
        </w:rPr>
        <w:t> </w:t>
      </w:r>
      <w:r>
        <w:rPr/>
        <w:t>States military installations. CBPR approaches hold particular significance for those who seek a more appropriate balance of leadership, power, and</w:t>
      </w:r>
      <w:r>
        <w:rPr>
          <w:spacing w:val="-5"/>
        </w:rPr>
        <w:t> </w:t>
      </w:r>
      <w:r>
        <w:rPr/>
        <w:t>self-determination</w:t>
      </w:r>
      <w:r>
        <w:rPr>
          <w:spacing w:val="-5"/>
        </w:rPr>
        <w:t> </w:t>
      </w:r>
      <w:r>
        <w:rPr/>
        <w:t>in</w:t>
      </w:r>
      <w:r>
        <w:rPr>
          <w:spacing w:val="-7"/>
        </w:rPr>
        <w:t> </w:t>
      </w:r>
      <w:r>
        <w:rPr/>
        <w:t>the</w:t>
      </w:r>
      <w:r>
        <w:rPr>
          <w:spacing w:val="-5"/>
        </w:rPr>
        <w:t> </w:t>
      </w:r>
      <w:r>
        <w:rPr/>
        <w:t>conduct</w:t>
      </w:r>
      <w:r>
        <w:rPr>
          <w:spacing w:val="-4"/>
        </w:rPr>
        <w:t> </w:t>
      </w:r>
      <w:r>
        <w:rPr/>
        <w:t>of</w:t>
      </w:r>
      <w:r>
        <w:rPr>
          <w:spacing w:val="-5"/>
        </w:rPr>
        <w:t> </w:t>
      </w:r>
      <w:r>
        <w:rPr/>
        <w:t>research concerning their communities.</w:t>
      </w:r>
    </w:p>
    <w:p>
      <w:pPr>
        <w:pStyle w:val="BodyText"/>
        <w:ind w:left="0"/>
      </w:pPr>
    </w:p>
    <w:p>
      <w:pPr>
        <w:pStyle w:val="BodyText"/>
        <w:ind w:right="115"/>
        <w:jc w:val="both"/>
      </w:pPr>
      <w:r>
        <w:rPr/>
        <w:t>CBPR is characterized by a full partnership among community members, representatives, and academic researchers (Israel, 2006). In CBPR, community and academic partners work according to key principles that seek to enhance the community’s welfare, foster mutual respect and open communication, and recognize the importance of shared power among all community and academic research team members (Israel, 1998; Wallerstein, 2003).</w:t>
      </w:r>
      <w:r>
        <w:rPr>
          <w:spacing w:val="40"/>
        </w:rPr>
        <w:t> </w:t>
      </w:r>
      <w:r>
        <w:rPr/>
        <w:t>Table 1 notes some commonalities between principles and values of CBPR (adapted from Israel</w:t>
      </w:r>
      <w:r>
        <w:rPr>
          <w:spacing w:val="-2"/>
        </w:rPr>
        <w:t> </w:t>
      </w:r>
      <w:r>
        <w:rPr/>
        <w:t>et</w:t>
      </w:r>
      <w:r>
        <w:rPr>
          <w:spacing w:val="-5"/>
        </w:rPr>
        <w:t> </w:t>
      </w:r>
      <w:r>
        <w:rPr/>
        <w:t>al,</w:t>
      </w:r>
      <w:r>
        <w:rPr>
          <w:spacing w:val="-5"/>
        </w:rPr>
        <w:t> </w:t>
      </w:r>
      <w:r>
        <w:rPr/>
        <w:t>1998),</w:t>
      </w:r>
      <w:r>
        <w:rPr>
          <w:spacing w:val="-3"/>
        </w:rPr>
        <w:t> </w:t>
      </w:r>
      <w:r>
        <w:rPr/>
        <w:t>and</w:t>
      </w:r>
      <w:r>
        <w:rPr>
          <w:spacing w:val="-2"/>
        </w:rPr>
        <w:t> </w:t>
      </w:r>
      <w:r>
        <w:rPr/>
        <w:t>Chamorro</w:t>
      </w:r>
      <w:r>
        <w:rPr>
          <w:spacing w:val="-3"/>
        </w:rPr>
        <w:t> </w:t>
      </w:r>
      <w:r>
        <w:rPr/>
        <w:t>cultural</w:t>
      </w:r>
      <w:r>
        <w:rPr>
          <w:spacing w:val="-1"/>
        </w:rPr>
        <w:t> </w:t>
      </w:r>
      <w:r>
        <w:rPr>
          <w:spacing w:val="-2"/>
        </w:rPr>
        <w:t>values.</w:t>
      </w:r>
    </w:p>
    <w:p>
      <w:pPr>
        <w:pStyle w:val="BodyText"/>
        <w:spacing w:before="1"/>
        <w:ind w:left="0"/>
      </w:pPr>
    </w:p>
    <w:p>
      <w:pPr>
        <w:pStyle w:val="BodyText"/>
        <w:spacing w:before="1"/>
        <w:ind w:right="115"/>
        <w:jc w:val="both"/>
      </w:pPr>
      <w:r>
        <w:rPr/>
        <w:t>CBPR</w:t>
      </w:r>
      <w:r>
        <w:rPr>
          <w:spacing w:val="-3"/>
        </w:rPr>
        <w:t> </w:t>
      </w:r>
      <w:r>
        <w:rPr/>
        <w:t>has</w:t>
      </w:r>
      <w:r>
        <w:rPr>
          <w:spacing w:val="-1"/>
        </w:rPr>
        <w:t> </w:t>
      </w:r>
      <w:r>
        <w:rPr/>
        <w:t>great</w:t>
      </w:r>
      <w:r>
        <w:rPr>
          <w:spacing w:val="-1"/>
        </w:rPr>
        <w:t> </w:t>
      </w:r>
      <w:r>
        <w:rPr/>
        <w:t>potential</w:t>
      </w:r>
      <w:r>
        <w:rPr>
          <w:spacing w:val="-2"/>
        </w:rPr>
        <w:t> </w:t>
      </w:r>
      <w:r>
        <w:rPr/>
        <w:t>to</w:t>
      </w:r>
      <w:r>
        <w:rPr>
          <w:spacing w:val="-2"/>
        </w:rPr>
        <w:t> </w:t>
      </w:r>
      <w:r>
        <w:rPr/>
        <w:t>improve</w:t>
      </w:r>
      <w:r>
        <w:rPr>
          <w:spacing w:val="-2"/>
        </w:rPr>
        <w:t> </w:t>
      </w:r>
      <w:r>
        <w:rPr/>
        <w:t>the</w:t>
      </w:r>
      <w:r>
        <w:rPr>
          <w:spacing w:val="-2"/>
        </w:rPr>
        <w:t> </w:t>
      </w:r>
      <w:r>
        <w:rPr/>
        <w:t>validity and relevance of research efforts by increasing community motivation to participate in research efforts, increasing</w:t>
      </w:r>
      <w:r>
        <w:rPr>
          <w:spacing w:val="-2"/>
        </w:rPr>
        <w:t> </w:t>
      </w:r>
      <w:r>
        <w:rPr/>
        <w:t>the likelihood of acceptability of the research approach, enhancing recruitment and retention, increasing the likelihood that measures will be reliable and valid, and increasing the potential to translate findings into interventions that will be appropriate and acceptable to the communities they are meant to </w:t>
      </w:r>
      <w:r>
        <w:rPr>
          <w:spacing w:val="-2"/>
        </w:rPr>
        <w:t>serve.</w:t>
      </w:r>
    </w:p>
    <w:p>
      <w:pPr>
        <w:pStyle w:val="BodyText"/>
        <w:spacing w:before="5"/>
        <w:ind w:left="0"/>
      </w:pPr>
    </w:p>
    <w:p>
      <w:pPr>
        <w:pStyle w:val="Heading1"/>
        <w:spacing w:line="250" w:lineRule="exact"/>
      </w:pPr>
      <w:r>
        <w:rPr/>
        <w:t>The</w:t>
      </w:r>
      <w:r>
        <w:rPr>
          <w:spacing w:val="-3"/>
        </w:rPr>
        <w:t> </w:t>
      </w:r>
      <w:r>
        <w:rPr/>
        <w:t>Proposed</w:t>
      </w:r>
      <w:r>
        <w:rPr>
          <w:spacing w:val="-3"/>
        </w:rPr>
        <w:t> </w:t>
      </w:r>
      <w:r>
        <w:rPr/>
        <w:t>Research</w:t>
      </w:r>
      <w:r>
        <w:rPr>
          <w:spacing w:val="-5"/>
        </w:rPr>
        <w:t> </w:t>
      </w:r>
      <w:r>
        <w:rPr>
          <w:spacing w:val="-2"/>
        </w:rPr>
        <w:t>Project</w:t>
      </w:r>
    </w:p>
    <w:p>
      <w:pPr>
        <w:pStyle w:val="BodyText"/>
        <w:ind w:right="114"/>
        <w:jc w:val="both"/>
      </w:pPr>
      <w:r>
        <w:rPr/>
        <w:t>Research to</w:t>
      </w:r>
      <w:r>
        <w:rPr>
          <w:spacing w:val="-2"/>
        </w:rPr>
        <w:t> </w:t>
      </w:r>
      <w:r>
        <w:rPr/>
        <w:t>evaluate the GCN </w:t>
      </w:r>
      <w:r>
        <w:rPr>
          <w:i/>
        </w:rPr>
        <w:t>Målle' </w:t>
      </w:r>
      <w:r>
        <w:rPr/>
        <w:t>program</w:t>
      </w:r>
      <w:r>
        <w:rPr>
          <w:spacing w:val="-3"/>
        </w:rPr>
        <w:t> </w:t>
      </w:r>
      <w:r>
        <w:rPr/>
        <w:t>is the result of ongoing work to improve cancer prevention and control in the Southern</w:t>
      </w:r>
      <w:r>
        <w:rPr>
          <w:spacing w:val="40"/>
        </w:rPr>
        <w:t> </w:t>
      </w:r>
      <w:r>
        <w:rPr/>
        <w:t>California Chamorro community since the inception of the PATH for Women program, initially</w:t>
      </w:r>
      <w:r>
        <w:rPr>
          <w:spacing w:val="-1"/>
        </w:rPr>
        <w:t> </w:t>
      </w:r>
      <w:r>
        <w:rPr/>
        <w:t>funded in 1999 by</w:t>
      </w:r>
      <w:r>
        <w:rPr>
          <w:spacing w:val="-1"/>
        </w:rPr>
        <w:t> </w:t>
      </w:r>
      <w:r>
        <w:rPr/>
        <w:t>a Centers for Disease Control and Prevention (CDC) Racial and</w:t>
      </w:r>
      <w:r>
        <w:rPr>
          <w:spacing w:val="40"/>
        </w:rPr>
        <w:t> </w:t>
      </w:r>
      <w:r>
        <w:rPr/>
        <w:t>Ethnic Approaches to Community Health (REACH) 2010 grant. PATH for Women is a community-based participatory research project addressing breast and cervical cancer disparities among Pacific Islander and Southeast Asian Women in Southern California.</w:t>
      </w:r>
      <w:r>
        <w:rPr>
          <w:spacing w:val="40"/>
        </w:rPr>
        <w:t> </w:t>
      </w:r>
      <w:r>
        <w:rPr/>
        <w:t>Through culturally</w:t>
      </w:r>
      <w:r>
        <w:rPr>
          <w:spacing w:val="63"/>
          <w:w w:val="150"/>
        </w:rPr>
        <w:t>   </w:t>
      </w:r>
      <w:r>
        <w:rPr/>
        <w:t>and</w:t>
      </w:r>
      <w:r>
        <w:rPr>
          <w:spacing w:val="64"/>
          <w:w w:val="150"/>
        </w:rPr>
        <w:t>   </w:t>
      </w:r>
      <w:r>
        <w:rPr/>
        <w:t>linguistically</w:t>
      </w:r>
      <w:r>
        <w:rPr>
          <w:spacing w:val="63"/>
          <w:w w:val="150"/>
        </w:rPr>
        <w:t>   </w:t>
      </w:r>
      <w:r>
        <w:rPr>
          <w:spacing w:val="-2"/>
        </w:rPr>
        <w:t>tailored</w:t>
      </w:r>
    </w:p>
    <w:p>
      <w:pPr>
        <w:spacing w:after="0"/>
        <w:jc w:val="both"/>
        <w:sectPr>
          <w:pgSz w:w="12240" w:h="15840"/>
          <w:pgMar w:header="721" w:footer="792" w:top="1340" w:bottom="980" w:left="1320" w:right="1320"/>
          <w:cols w:num="2" w:equalWidth="0">
            <w:col w:w="4483" w:space="558"/>
            <w:col w:w="4559"/>
          </w:cols>
        </w:sectPr>
      </w:pPr>
    </w:p>
    <w:p>
      <w:pPr>
        <w:pStyle w:val="BodyText"/>
        <w:spacing w:before="81"/>
        <w:ind w:right="38"/>
        <w:jc w:val="both"/>
      </w:pPr>
      <w:r>
        <w:rPr/>
        <w:t>interventions, PATH for Women seeks to improve screening utilization among Pacific Islander and Southeast Asian women.</w:t>
      </w:r>
      <w:r>
        <w:rPr>
          <w:spacing w:val="40"/>
        </w:rPr>
        <w:t> </w:t>
      </w:r>
      <w:r>
        <w:rPr/>
        <w:t>Since its inception, PATH for Women has fully involved the community in key activities, including the conduct of community needs assessments, intervention design, and implementation of cancer prevention and control programs tailored to respond to input from community members regarding their needs and priorities. Conducting an evaluation of a culturally tailored</w:t>
      </w:r>
      <w:r>
        <w:rPr>
          <w:spacing w:val="40"/>
        </w:rPr>
        <w:t> </w:t>
      </w:r>
      <w:r>
        <w:rPr/>
        <w:t>community-based navigation intervention was a natural outgrowth of this work. This project will continue to build upon these successful efforts, engaging new academic partners in the CBPR process.</w:t>
      </w:r>
      <w:r>
        <w:rPr>
          <w:spacing w:val="13"/>
        </w:rPr>
        <w:t> </w:t>
      </w:r>
      <w:r>
        <w:rPr/>
        <w:t>This</w:t>
      </w:r>
      <w:r>
        <w:rPr>
          <w:spacing w:val="16"/>
        </w:rPr>
        <w:t> </w:t>
      </w:r>
      <w:r>
        <w:rPr/>
        <w:t>work</w:t>
      </w:r>
      <w:r>
        <w:rPr>
          <w:spacing w:val="14"/>
        </w:rPr>
        <w:t> </w:t>
      </w:r>
      <w:r>
        <w:rPr/>
        <w:t>received</w:t>
      </w:r>
      <w:r>
        <w:rPr>
          <w:spacing w:val="18"/>
        </w:rPr>
        <w:t> </w:t>
      </w:r>
      <w:r>
        <w:rPr/>
        <w:t>IRB</w:t>
      </w:r>
      <w:r>
        <w:rPr>
          <w:spacing w:val="17"/>
        </w:rPr>
        <w:t> </w:t>
      </w:r>
      <w:r>
        <w:rPr/>
        <w:t>approval</w:t>
      </w:r>
      <w:r>
        <w:rPr>
          <w:spacing w:val="18"/>
        </w:rPr>
        <w:t> </w:t>
      </w:r>
      <w:r>
        <w:rPr>
          <w:spacing w:val="-4"/>
        </w:rPr>
        <w:t>from</w:t>
      </w:r>
    </w:p>
    <w:p>
      <w:pPr>
        <w:pStyle w:val="BodyText"/>
        <w:spacing w:before="81"/>
        <w:ind w:right="118"/>
        <w:jc w:val="both"/>
      </w:pPr>
      <w:r>
        <w:rPr/>
        <w:br w:type="column"/>
      </w:r>
      <w:r>
        <w:rPr/>
        <w:t>Special Services for Groups and the University of California, Los Angeles.</w:t>
      </w:r>
    </w:p>
    <w:p>
      <w:pPr>
        <w:pStyle w:val="BodyText"/>
        <w:spacing w:before="5"/>
        <w:ind w:left="0"/>
      </w:pPr>
    </w:p>
    <w:p>
      <w:pPr>
        <w:pStyle w:val="Heading1"/>
        <w:ind w:left="2"/>
        <w:jc w:val="center"/>
      </w:pPr>
      <w:r>
        <w:rPr>
          <w:spacing w:val="-2"/>
        </w:rPr>
        <w:t>Methods</w:t>
      </w:r>
    </w:p>
    <w:p>
      <w:pPr>
        <w:pStyle w:val="BodyText"/>
        <w:spacing w:before="248"/>
        <w:ind w:right="114"/>
        <w:jc w:val="both"/>
      </w:pPr>
      <w:r>
        <w:rPr/>
        <w:t>The authors are currently engaging in an</w:t>
      </w:r>
      <w:r>
        <w:rPr>
          <w:spacing w:val="40"/>
        </w:rPr>
        <w:t> </w:t>
      </w:r>
      <w:r>
        <w:rPr/>
        <w:t>ongoing process of implementing a CBPR approach focusing on active involvement of community members, community-based organizational representatives, and academic researchers</w:t>
      </w:r>
      <w:r>
        <w:rPr>
          <w:spacing w:val="-3"/>
        </w:rPr>
        <w:t> </w:t>
      </w:r>
      <w:r>
        <w:rPr/>
        <w:t>in</w:t>
      </w:r>
      <w:r>
        <w:rPr>
          <w:spacing w:val="-5"/>
        </w:rPr>
        <w:t> </w:t>
      </w:r>
      <w:r>
        <w:rPr/>
        <w:t>all</w:t>
      </w:r>
      <w:r>
        <w:rPr>
          <w:spacing w:val="-2"/>
        </w:rPr>
        <w:t> </w:t>
      </w:r>
      <w:r>
        <w:rPr/>
        <w:t>aspects</w:t>
      </w:r>
      <w:r>
        <w:rPr>
          <w:spacing w:val="-3"/>
        </w:rPr>
        <w:t> </w:t>
      </w:r>
      <w:r>
        <w:rPr/>
        <w:t>of</w:t>
      </w:r>
      <w:r>
        <w:rPr>
          <w:spacing w:val="-1"/>
        </w:rPr>
        <w:t> </w:t>
      </w:r>
      <w:r>
        <w:rPr/>
        <w:t>the</w:t>
      </w:r>
      <w:r>
        <w:rPr>
          <w:spacing w:val="-2"/>
        </w:rPr>
        <w:t> </w:t>
      </w:r>
      <w:r>
        <w:rPr/>
        <w:t>research</w:t>
      </w:r>
      <w:r>
        <w:rPr>
          <w:spacing w:val="-5"/>
        </w:rPr>
        <w:t> </w:t>
      </w:r>
      <w:r>
        <w:rPr/>
        <w:t>process. This exemplifies the iterative process necessary to develop trust and respect to foster strong, effective, participatory partnerships. This manuscript grew out of a process of reflection</w:t>
      </w:r>
    </w:p>
    <w:p>
      <w:pPr>
        <w:spacing w:after="0"/>
        <w:jc w:val="both"/>
        <w:sectPr>
          <w:pgSz w:w="12240" w:h="15840"/>
          <w:pgMar w:header="721" w:footer="792" w:top="1340" w:bottom="980" w:left="1320" w:right="1320"/>
          <w:cols w:num="2" w:equalWidth="0">
            <w:col w:w="4482" w:space="559"/>
            <w:col w:w="4559"/>
          </w:cols>
        </w:sectPr>
      </w:pPr>
    </w:p>
    <w:p>
      <w:pPr>
        <w:pStyle w:val="BodyText"/>
        <w:spacing w:before="6"/>
        <w:ind w:left="0"/>
      </w:pPr>
    </w:p>
    <w:p>
      <w:pPr>
        <w:pStyle w:val="Heading1"/>
        <w:ind w:left="0" w:right="101"/>
        <w:jc w:val="center"/>
      </w:pPr>
      <w:r>
        <w:rPr/>
        <w:t>Table </w:t>
      </w:r>
      <w:r>
        <w:rPr>
          <w:spacing w:val="-10"/>
        </w:rPr>
        <w:t>1</w:t>
      </w:r>
    </w:p>
    <w:p>
      <w:pPr>
        <w:pStyle w:val="BodyText"/>
        <w:spacing w:before="249" w:after="5"/>
        <w:ind w:left="0" w:right="103"/>
        <w:jc w:val="center"/>
      </w:pPr>
      <w:r>
        <w:rPr/>
        <w:t>CBPR</w:t>
      </w:r>
      <w:r>
        <w:rPr>
          <w:spacing w:val="-5"/>
        </w:rPr>
        <w:t> </w:t>
      </w:r>
      <w:r>
        <w:rPr/>
        <w:t>Principles</w:t>
      </w:r>
      <w:r>
        <w:rPr>
          <w:spacing w:val="-2"/>
        </w:rPr>
        <w:t> </w:t>
      </w:r>
      <w:r>
        <w:rPr/>
        <w:t>and</w:t>
      </w:r>
      <w:r>
        <w:rPr>
          <w:spacing w:val="-3"/>
        </w:rPr>
        <w:t> </w:t>
      </w:r>
      <w:r>
        <w:rPr/>
        <w:t>Chamorro</w:t>
      </w:r>
      <w:r>
        <w:rPr>
          <w:spacing w:val="-5"/>
        </w:rPr>
        <w:t> </w:t>
      </w:r>
      <w:r>
        <w:rPr/>
        <w:t>Values:</w:t>
      </w:r>
      <w:r>
        <w:rPr>
          <w:spacing w:val="-2"/>
        </w:rPr>
        <w:t> </w:t>
      </w:r>
      <w:r>
        <w:rPr/>
        <w:t>A</w:t>
      </w:r>
      <w:r>
        <w:rPr>
          <w:spacing w:val="-3"/>
        </w:rPr>
        <w:t> </w:t>
      </w:r>
      <w:r>
        <w:rPr>
          <w:spacing w:val="-2"/>
        </w:rPr>
        <w:t>Comparison</w:t>
      </w:r>
    </w:p>
    <w:tbl>
      <w:tblPr>
        <w:tblW w:w="0" w:type="auto"/>
        <w:jc w:val="left"/>
        <w:tblInd w:w="1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4144"/>
        <w:gridCol w:w="2678"/>
        <w:gridCol w:w="2550"/>
      </w:tblGrid>
      <w:tr>
        <w:trPr>
          <w:trHeight w:val="208" w:hRule="atLeast"/>
        </w:trPr>
        <w:tc>
          <w:tcPr>
            <w:tcW w:w="4144" w:type="dxa"/>
            <w:tcBorders>
              <w:top w:val="single" w:sz="4" w:space="0" w:color="000000"/>
              <w:bottom w:val="single" w:sz="4" w:space="0" w:color="000000"/>
            </w:tcBorders>
          </w:tcPr>
          <w:p>
            <w:pPr>
              <w:pStyle w:val="TableParagraph"/>
              <w:spacing w:line="188" w:lineRule="exact"/>
              <w:rPr>
                <w:b/>
                <w:sz w:val="18"/>
              </w:rPr>
            </w:pPr>
            <w:r>
              <w:rPr>
                <w:b/>
                <w:sz w:val="18"/>
              </w:rPr>
              <w:t>CBPR</w:t>
            </w:r>
            <w:r>
              <w:rPr>
                <w:b/>
                <w:spacing w:val="1"/>
                <w:sz w:val="18"/>
              </w:rPr>
              <w:t> </w:t>
            </w:r>
            <w:r>
              <w:rPr>
                <w:b/>
                <w:spacing w:val="-2"/>
                <w:sz w:val="18"/>
              </w:rPr>
              <w:t>Principles</w:t>
            </w:r>
          </w:p>
        </w:tc>
        <w:tc>
          <w:tcPr>
            <w:tcW w:w="2678" w:type="dxa"/>
            <w:tcBorders>
              <w:top w:val="single" w:sz="4" w:space="0" w:color="000000"/>
              <w:bottom w:val="single" w:sz="4" w:space="0" w:color="000000"/>
            </w:tcBorders>
          </w:tcPr>
          <w:p>
            <w:pPr>
              <w:pStyle w:val="TableParagraph"/>
              <w:spacing w:line="188" w:lineRule="exact"/>
              <w:ind w:left="150"/>
              <w:rPr>
                <w:b/>
                <w:sz w:val="18"/>
              </w:rPr>
            </w:pPr>
            <w:r>
              <w:rPr>
                <w:b/>
                <w:sz w:val="18"/>
              </w:rPr>
              <w:t>Chamorro</w:t>
            </w:r>
            <w:r>
              <w:rPr>
                <w:b/>
                <w:spacing w:val="-3"/>
                <w:sz w:val="18"/>
              </w:rPr>
              <w:t> </w:t>
            </w:r>
            <w:r>
              <w:rPr>
                <w:b/>
                <w:spacing w:val="-2"/>
                <w:sz w:val="18"/>
              </w:rPr>
              <w:t>Values</w:t>
            </w:r>
          </w:p>
        </w:tc>
        <w:tc>
          <w:tcPr>
            <w:tcW w:w="2550" w:type="dxa"/>
            <w:tcBorders>
              <w:top w:val="single" w:sz="4" w:space="0" w:color="000000"/>
              <w:bottom w:val="single" w:sz="4" w:space="0" w:color="000000"/>
            </w:tcBorders>
          </w:tcPr>
          <w:p>
            <w:pPr>
              <w:pStyle w:val="TableParagraph"/>
              <w:spacing w:line="188" w:lineRule="exact"/>
              <w:ind w:left="139"/>
              <w:rPr>
                <w:b/>
                <w:sz w:val="18"/>
              </w:rPr>
            </w:pPr>
            <w:r>
              <w:rPr>
                <w:b/>
                <w:sz w:val="18"/>
              </w:rPr>
              <w:t>Shared</w:t>
            </w:r>
            <w:r>
              <w:rPr>
                <w:b/>
                <w:spacing w:val="-5"/>
                <w:sz w:val="18"/>
              </w:rPr>
              <w:t> </w:t>
            </w:r>
            <w:r>
              <w:rPr>
                <w:b/>
                <w:spacing w:val="-2"/>
                <w:sz w:val="18"/>
              </w:rPr>
              <w:t>Value</w:t>
            </w:r>
          </w:p>
        </w:tc>
      </w:tr>
      <w:tr>
        <w:trPr>
          <w:trHeight w:val="558" w:hRule="atLeast"/>
        </w:trPr>
        <w:tc>
          <w:tcPr>
            <w:tcW w:w="4144" w:type="dxa"/>
            <w:tcBorders>
              <w:top w:val="single" w:sz="4" w:space="0" w:color="000000"/>
              <w:bottom w:val="single" w:sz="4" w:space="0" w:color="000000"/>
            </w:tcBorders>
          </w:tcPr>
          <w:p>
            <w:pPr>
              <w:pStyle w:val="TableParagraph"/>
              <w:spacing w:line="202" w:lineRule="exact"/>
              <w:rPr>
                <w:sz w:val="18"/>
              </w:rPr>
            </w:pPr>
            <w:r>
              <w:rPr>
                <w:sz w:val="18"/>
              </w:rPr>
              <w:t>Recognizes</w:t>
            </w:r>
            <w:r>
              <w:rPr>
                <w:spacing w:val="-1"/>
                <w:sz w:val="18"/>
              </w:rPr>
              <w:t> </w:t>
            </w:r>
            <w:r>
              <w:rPr>
                <w:sz w:val="18"/>
              </w:rPr>
              <w:t>the</w:t>
            </w:r>
            <w:r>
              <w:rPr>
                <w:spacing w:val="-1"/>
                <w:sz w:val="18"/>
              </w:rPr>
              <w:t> </w:t>
            </w:r>
            <w:r>
              <w:rPr>
                <w:sz w:val="18"/>
              </w:rPr>
              <w:t>community</w:t>
            </w:r>
            <w:r>
              <w:rPr>
                <w:spacing w:val="-4"/>
                <w:sz w:val="18"/>
              </w:rPr>
              <w:t> </w:t>
            </w:r>
            <w:r>
              <w:rPr>
                <w:sz w:val="18"/>
              </w:rPr>
              <w:t>as</w:t>
            </w:r>
            <w:r>
              <w:rPr>
                <w:spacing w:val="-1"/>
                <w:sz w:val="18"/>
              </w:rPr>
              <w:t> </w:t>
            </w:r>
            <w:r>
              <w:rPr>
                <w:sz w:val="18"/>
              </w:rPr>
              <w:t>a unit</w:t>
            </w:r>
            <w:r>
              <w:rPr>
                <w:spacing w:val="-2"/>
                <w:sz w:val="18"/>
              </w:rPr>
              <w:t> </w:t>
            </w:r>
            <w:r>
              <w:rPr>
                <w:sz w:val="18"/>
              </w:rPr>
              <w:t>of</w:t>
            </w:r>
            <w:r>
              <w:rPr>
                <w:spacing w:val="-2"/>
                <w:sz w:val="18"/>
              </w:rPr>
              <w:t> identity</w:t>
            </w:r>
          </w:p>
        </w:tc>
        <w:tc>
          <w:tcPr>
            <w:tcW w:w="2678" w:type="dxa"/>
            <w:tcBorders>
              <w:top w:val="single" w:sz="4" w:space="0" w:color="000000"/>
              <w:bottom w:val="single" w:sz="4" w:space="0" w:color="000000"/>
            </w:tcBorders>
          </w:tcPr>
          <w:p>
            <w:pPr>
              <w:pStyle w:val="TableParagraph"/>
              <w:ind w:left="150" w:right="523"/>
              <w:rPr>
                <w:i/>
                <w:sz w:val="18"/>
              </w:rPr>
            </w:pPr>
            <w:r>
              <w:rPr>
                <w:i/>
                <w:sz w:val="18"/>
              </w:rPr>
              <w:t>Kostumbren</w:t>
            </w:r>
            <w:r>
              <w:rPr>
                <w:i/>
                <w:spacing w:val="-12"/>
                <w:sz w:val="18"/>
              </w:rPr>
              <w:t> </w:t>
            </w:r>
            <w:r>
              <w:rPr>
                <w:i/>
                <w:sz w:val="18"/>
              </w:rPr>
              <w:t>Chamoru=The</w:t>
            </w:r>
            <w:r>
              <w:rPr>
                <w:i/>
                <w:sz w:val="18"/>
              </w:rPr>
              <w:t> Chamorro Way</w:t>
            </w:r>
          </w:p>
        </w:tc>
        <w:tc>
          <w:tcPr>
            <w:tcW w:w="2550" w:type="dxa"/>
            <w:tcBorders>
              <w:top w:val="single" w:sz="4" w:space="0" w:color="000000"/>
              <w:bottom w:val="single" w:sz="4" w:space="0" w:color="000000"/>
            </w:tcBorders>
          </w:tcPr>
          <w:p>
            <w:pPr>
              <w:pStyle w:val="TableParagraph"/>
              <w:ind w:left="139"/>
              <w:rPr>
                <w:sz w:val="18"/>
              </w:rPr>
            </w:pPr>
            <w:r>
              <w:rPr>
                <w:sz w:val="18"/>
              </w:rPr>
              <w:t>The</w:t>
            </w:r>
            <w:r>
              <w:rPr>
                <w:spacing w:val="-12"/>
                <w:sz w:val="18"/>
              </w:rPr>
              <w:t> </w:t>
            </w:r>
            <w:r>
              <w:rPr>
                <w:sz w:val="18"/>
              </w:rPr>
              <w:t>Community/The</w:t>
            </w:r>
            <w:r>
              <w:rPr>
                <w:spacing w:val="-11"/>
                <w:sz w:val="18"/>
              </w:rPr>
              <w:t> </w:t>
            </w:r>
            <w:r>
              <w:rPr>
                <w:sz w:val="18"/>
              </w:rPr>
              <w:t>Culture </w:t>
            </w:r>
            <w:r>
              <w:rPr>
                <w:spacing w:val="-2"/>
                <w:sz w:val="18"/>
              </w:rPr>
              <w:t>Respect</w:t>
            </w:r>
          </w:p>
        </w:tc>
      </w:tr>
      <w:tr>
        <w:trPr>
          <w:trHeight w:val="1156" w:hRule="atLeast"/>
        </w:trPr>
        <w:tc>
          <w:tcPr>
            <w:tcW w:w="4144" w:type="dxa"/>
            <w:tcBorders>
              <w:top w:val="single" w:sz="4" w:space="0" w:color="000000"/>
              <w:bottom w:val="single" w:sz="4" w:space="0" w:color="000000"/>
            </w:tcBorders>
          </w:tcPr>
          <w:p>
            <w:pPr>
              <w:pStyle w:val="TableParagraph"/>
              <w:ind w:right="131"/>
              <w:rPr>
                <w:sz w:val="18"/>
              </w:rPr>
            </w:pPr>
            <w:r>
              <w:rPr>
                <w:sz w:val="18"/>
              </w:rPr>
              <w:t>Builds</w:t>
            </w:r>
            <w:r>
              <w:rPr>
                <w:spacing w:val="-9"/>
                <w:sz w:val="18"/>
              </w:rPr>
              <w:t> </w:t>
            </w:r>
            <w:r>
              <w:rPr>
                <w:sz w:val="18"/>
              </w:rPr>
              <w:t>on</w:t>
            </w:r>
            <w:r>
              <w:rPr>
                <w:spacing w:val="-7"/>
                <w:sz w:val="18"/>
              </w:rPr>
              <w:t> </w:t>
            </w:r>
            <w:r>
              <w:rPr>
                <w:sz w:val="18"/>
              </w:rPr>
              <w:t>strengths</w:t>
            </w:r>
            <w:r>
              <w:rPr>
                <w:spacing w:val="-6"/>
                <w:sz w:val="18"/>
              </w:rPr>
              <w:t> </w:t>
            </w:r>
            <w:r>
              <w:rPr>
                <w:sz w:val="18"/>
              </w:rPr>
              <w:t>and</w:t>
            </w:r>
            <w:r>
              <w:rPr>
                <w:spacing w:val="-5"/>
                <w:sz w:val="18"/>
              </w:rPr>
              <w:t> </w:t>
            </w:r>
            <w:r>
              <w:rPr>
                <w:sz w:val="18"/>
              </w:rPr>
              <w:t>resources</w:t>
            </w:r>
            <w:r>
              <w:rPr>
                <w:spacing w:val="-6"/>
                <w:sz w:val="18"/>
              </w:rPr>
              <w:t> </w:t>
            </w:r>
            <w:r>
              <w:rPr>
                <w:sz w:val="18"/>
              </w:rPr>
              <w:t>within</w:t>
            </w:r>
            <w:r>
              <w:rPr>
                <w:spacing w:val="-5"/>
                <w:sz w:val="18"/>
              </w:rPr>
              <w:t> </w:t>
            </w:r>
            <w:r>
              <w:rPr>
                <w:sz w:val="18"/>
              </w:rPr>
              <w:t>the </w:t>
            </w:r>
            <w:r>
              <w:rPr>
                <w:spacing w:val="-2"/>
                <w:sz w:val="18"/>
              </w:rPr>
              <w:t>community</w:t>
            </w:r>
          </w:p>
        </w:tc>
        <w:tc>
          <w:tcPr>
            <w:tcW w:w="2678" w:type="dxa"/>
            <w:tcBorders>
              <w:top w:val="single" w:sz="4" w:space="0" w:color="000000"/>
              <w:bottom w:val="single" w:sz="4" w:space="0" w:color="000000"/>
            </w:tcBorders>
          </w:tcPr>
          <w:p>
            <w:pPr>
              <w:pStyle w:val="TableParagraph"/>
              <w:ind w:left="150" w:right="914"/>
              <w:rPr>
                <w:i/>
                <w:sz w:val="18"/>
              </w:rPr>
            </w:pPr>
            <w:r>
              <w:rPr>
                <w:i/>
                <w:sz w:val="18"/>
              </w:rPr>
              <w:t>Kostumbren</w:t>
            </w:r>
            <w:r>
              <w:rPr>
                <w:i/>
                <w:spacing w:val="-12"/>
                <w:sz w:val="18"/>
              </w:rPr>
              <w:t> </w:t>
            </w:r>
            <w:r>
              <w:rPr>
                <w:i/>
                <w:sz w:val="18"/>
              </w:rPr>
              <w:t>Chamoru</w:t>
            </w:r>
            <w:r>
              <w:rPr>
                <w:i/>
                <w:sz w:val="18"/>
              </w:rPr>
              <w:t> </w:t>
            </w:r>
            <w:r>
              <w:rPr>
                <w:i/>
                <w:spacing w:val="-2"/>
                <w:sz w:val="18"/>
              </w:rPr>
              <w:t>Inafa’maolek</w:t>
            </w:r>
          </w:p>
        </w:tc>
        <w:tc>
          <w:tcPr>
            <w:tcW w:w="2550" w:type="dxa"/>
            <w:tcBorders>
              <w:top w:val="single" w:sz="4" w:space="0" w:color="000000"/>
              <w:bottom w:val="single" w:sz="4" w:space="0" w:color="000000"/>
            </w:tcBorders>
          </w:tcPr>
          <w:p>
            <w:pPr>
              <w:pStyle w:val="TableParagraph"/>
              <w:ind w:left="139" w:right="403"/>
              <w:rPr>
                <w:sz w:val="18"/>
              </w:rPr>
            </w:pPr>
            <w:r>
              <w:rPr>
                <w:sz w:val="18"/>
              </w:rPr>
              <w:t>Respect</w:t>
            </w:r>
            <w:r>
              <w:rPr>
                <w:spacing w:val="-12"/>
                <w:sz w:val="18"/>
              </w:rPr>
              <w:t> </w:t>
            </w:r>
            <w:r>
              <w:rPr>
                <w:sz w:val="18"/>
              </w:rPr>
              <w:t>for</w:t>
            </w:r>
            <w:r>
              <w:rPr>
                <w:spacing w:val="-11"/>
                <w:sz w:val="18"/>
              </w:rPr>
              <w:t> </w:t>
            </w:r>
            <w:r>
              <w:rPr>
                <w:sz w:val="18"/>
              </w:rPr>
              <w:t>the</w:t>
            </w:r>
            <w:r>
              <w:rPr>
                <w:spacing w:val="-11"/>
                <w:sz w:val="18"/>
              </w:rPr>
              <w:t> </w:t>
            </w:r>
            <w:r>
              <w:rPr>
                <w:sz w:val="18"/>
              </w:rPr>
              <w:t>community </w:t>
            </w:r>
            <w:r>
              <w:rPr>
                <w:spacing w:val="-2"/>
                <w:sz w:val="18"/>
              </w:rPr>
              <w:t>Interdependence Cooperation</w:t>
            </w:r>
          </w:p>
          <w:p>
            <w:pPr>
              <w:pStyle w:val="TableParagraph"/>
              <w:ind w:left="139" w:right="871"/>
              <w:rPr>
                <w:sz w:val="18"/>
              </w:rPr>
            </w:pPr>
            <w:r>
              <w:rPr>
                <w:spacing w:val="-2"/>
                <w:sz w:val="18"/>
              </w:rPr>
              <w:t>Mutuality Compassion</w:t>
            </w:r>
          </w:p>
        </w:tc>
      </w:tr>
      <w:tr>
        <w:trPr>
          <w:trHeight w:val="741" w:hRule="atLeast"/>
        </w:trPr>
        <w:tc>
          <w:tcPr>
            <w:tcW w:w="4144" w:type="dxa"/>
            <w:tcBorders>
              <w:top w:val="single" w:sz="4" w:space="0" w:color="000000"/>
              <w:bottom w:val="single" w:sz="4" w:space="0" w:color="000000"/>
            </w:tcBorders>
          </w:tcPr>
          <w:p>
            <w:pPr>
              <w:pStyle w:val="TableParagraph"/>
              <w:rPr>
                <w:sz w:val="18"/>
              </w:rPr>
            </w:pPr>
            <w:r>
              <w:rPr>
                <w:sz w:val="18"/>
              </w:rPr>
              <w:t>Facilitates</w:t>
            </w:r>
            <w:r>
              <w:rPr>
                <w:spacing w:val="-9"/>
                <w:sz w:val="18"/>
              </w:rPr>
              <w:t> </w:t>
            </w:r>
            <w:r>
              <w:rPr>
                <w:sz w:val="18"/>
              </w:rPr>
              <w:t>collaborative,</w:t>
            </w:r>
            <w:r>
              <w:rPr>
                <w:spacing w:val="-8"/>
                <w:sz w:val="18"/>
              </w:rPr>
              <w:t> </w:t>
            </w:r>
            <w:r>
              <w:rPr>
                <w:sz w:val="18"/>
              </w:rPr>
              <w:t>equitable</w:t>
            </w:r>
            <w:r>
              <w:rPr>
                <w:spacing w:val="-9"/>
                <w:sz w:val="18"/>
              </w:rPr>
              <w:t> </w:t>
            </w:r>
            <w:r>
              <w:rPr>
                <w:sz w:val="18"/>
              </w:rPr>
              <w:t>involvement</w:t>
            </w:r>
            <w:r>
              <w:rPr>
                <w:spacing w:val="-8"/>
                <w:sz w:val="18"/>
              </w:rPr>
              <w:t> </w:t>
            </w:r>
            <w:r>
              <w:rPr>
                <w:sz w:val="18"/>
              </w:rPr>
              <w:t>of</w:t>
            </w:r>
            <w:r>
              <w:rPr>
                <w:spacing w:val="-10"/>
                <w:sz w:val="18"/>
              </w:rPr>
              <w:t> </w:t>
            </w:r>
            <w:r>
              <w:rPr>
                <w:sz w:val="18"/>
              </w:rPr>
              <w:t>all partners in all phases and aspects of the research</w:t>
            </w:r>
          </w:p>
        </w:tc>
        <w:tc>
          <w:tcPr>
            <w:tcW w:w="2678" w:type="dxa"/>
            <w:tcBorders>
              <w:top w:val="single" w:sz="4" w:space="0" w:color="000000"/>
              <w:bottom w:val="single" w:sz="4" w:space="0" w:color="000000"/>
            </w:tcBorders>
          </w:tcPr>
          <w:p>
            <w:pPr>
              <w:pStyle w:val="TableParagraph"/>
              <w:ind w:left="150" w:right="1056"/>
              <w:rPr>
                <w:i/>
                <w:sz w:val="18"/>
              </w:rPr>
            </w:pPr>
            <w:r>
              <w:rPr>
                <w:i/>
                <w:spacing w:val="-2"/>
                <w:sz w:val="18"/>
              </w:rPr>
              <w:t>Respetu</w:t>
            </w:r>
            <w:r>
              <w:rPr>
                <w:i/>
                <w:spacing w:val="-2"/>
                <w:sz w:val="18"/>
              </w:rPr>
              <w:t> Inafa’maolek</w:t>
            </w:r>
          </w:p>
        </w:tc>
        <w:tc>
          <w:tcPr>
            <w:tcW w:w="2550" w:type="dxa"/>
            <w:tcBorders>
              <w:top w:val="single" w:sz="4" w:space="0" w:color="000000"/>
              <w:bottom w:val="single" w:sz="4" w:space="0" w:color="000000"/>
            </w:tcBorders>
          </w:tcPr>
          <w:p>
            <w:pPr>
              <w:pStyle w:val="TableParagraph"/>
              <w:ind w:left="139" w:right="579"/>
              <w:rPr>
                <w:sz w:val="18"/>
              </w:rPr>
            </w:pPr>
            <w:r>
              <w:rPr>
                <w:sz w:val="18"/>
              </w:rPr>
              <w:t>Respect</w:t>
            </w:r>
            <w:r>
              <w:rPr>
                <w:spacing w:val="-12"/>
                <w:sz w:val="18"/>
              </w:rPr>
              <w:t> </w:t>
            </w:r>
            <w:r>
              <w:rPr>
                <w:sz w:val="18"/>
              </w:rPr>
              <w:t>for</w:t>
            </w:r>
            <w:r>
              <w:rPr>
                <w:spacing w:val="-11"/>
                <w:sz w:val="18"/>
              </w:rPr>
              <w:t> </w:t>
            </w:r>
            <w:r>
              <w:rPr>
                <w:sz w:val="18"/>
              </w:rPr>
              <w:t>individuals </w:t>
            </w:r>
            <w:r>
              <w:rPr>
                <w:spacing w:val="-2"/>
                <w:sz w:val="18"/>
              </w:rPr>
              <w:t>Interdependence Mutuality</w:t>
            </w:r>
          </w:p>
        </w:tc>
      </w:tr>
      <w:tr>
        <w:trPr>
          <w:trHeight w:val="741" w:hRule="atLeast"/>
        </w:trPr>
        <w:tc>
          <w:tcPr>
            <w:tcW w:w="4144" w:type="dxa"/>
            <w:tcBorders>
              <w:top w:val="single" w:sz="4" w:space="0" w:color="000000"/>
              <w:bottom w:val="single" w:sz="4" w:space="0" w:color="000000"/>
            </w:tcBorders>
          </w:tcPr>
          <w:p>
            <w:pPr>
              <w:pStyle w:val="TableParagraph"/>
              <w:ind w:right="131"/>
              <w:rPr>
                <w:sz w:val="18"/>
              </w:rPr>
            </w:pPr>
            <w:r>
              <w:rPr>
                <w:sz w:val="18"/>
              </w:rPr>
              <w:t>Integrates</w:t>
            </w:r>
            <w:r>
              <w:rPr>
                <w:spacing w:val="-7"/>
                <w:sz w:val="18"/>
              </w:rPr>
              <w:t> </w:t>
            </w:r>
            <w:r>
              <w:rPr>
                <w:sz w:val="18"/>
              </w:rPr>
              <w:t>knowledge</w:t>
            </w:r>
            <w:r>
              <w:rPr>
                <w:spacing w:val="-7"/>
                <w:sz w:val="18"/>
              </w:rPr>
              <w:t> </w:t>
            </w:r>
            <w:r>
              <w:rPr>
                <w:sz w:val="18"/>
              </w:rPr>
              <w:t>and</w:t>
            </w:r>
            <w:r>
              <w:rPr>
                <w:spacing w:val="-5"/>
                <w:sz w:val="18"/>
              </w:rPr>
              <w:t> </w:t>
            </w:r>
            <w:r>
              <w:rPr>
                <w:sz w:val="18"/>
              </w:rPr>
              <w:t>action</w:t>
            </w:r>
            <w:r>
              <w:rPr>
                <w:spacing w:val="-7"/>
                <w:sz w:val="18"/>
              </w:rPr>
              <w:t> </w:t>
            </w:r>
            <w:r>
              <w:rPr>
                <w:sz w:val="18"/>
              </w:rPr>
              <w:t>for</w:t>
            </w:r>
            <w:r>
              <w:rPr>
                <w:spacing w:val="-6"/>
                <w:sz w:val="18"/>
              </w:rPr>
              <w:t> </w:t>
            </w:r>
            <w:r>
              <w:rPr>
                <w:sz w:val="18"/>
              </w:rPr>
              <w:t>mutual</w:t>
            </w:r>
            <w:r>
              <w:rPr>
                <w:spacing w:val="-6"/>
                <w:sz w:val="18"/>
              </w:rPr>
              <w:t> </w:t>
            </w:r>
            <w:r>
              <w:rPr>
                <w:sz w:val="18"/>
              </w:rPr>
              <w:t>benefit</w:t>
            </w:r>
            <w:r>
              <w:rPr>
                <w:spacing w:val="-6"/>
                <w:sz w:val="18"/>
              </w:rPr>
              <w:t> </w:t>
            </w:r>
            <w:r>
              <w:rPr>
                <w:sz w:val="18"/>
              </w:rPr>
              <w:t>of all partners</w:t>
            </w:r>
          </w:p>
        </w:tc>
        <w:tc>
          <w:tcPr>
            <w:tcW w:w="2678" w:type="dxa"/>
            <w:tcBorders>
              <w:top w:val="single" w:sz="4" w:space="0" w:color="000000"/>
              <w:bottom w:val="single" w:sz="4" w:space="0" w:color="000000"/>
            </w:tcBorders>
          </w:tcPr>
          <w:p>
            <w:pPr>
              <w:pStyle w:val="TableParagraph"/>
              <w:spacing w:line="202" w:lineRule="exact"/>
              <w:ind w:left="150"/>
              <w:rPr>
                <w:i/>
                <w:sz w:val="18"/>
              </w:rPr>
            </w:pPr>
            <w:r>
              <w:rPr>
                <w:i/>
                <w:spacing w:val="-2"/>
                <w:sz w:val="18"/>
              </w:rPr>
              <w:t>Inafa’maolek</w:t>
            </w:r>
          </w:p>
        </w:tc>
        <w:tc>
          <w:tcPr>
            <w:tcW w:w="2550" w:type="dxa"/>
            <w:tcBorders>
              <w:top w:val="single" w:sz="4" w:space="0" w:color="000000"/>
              <w:bottom w:val="single" w:sz="4" w:space="0" w:color="000000"/>
            </w:tcBorders>
          </w:tcPr>
          <w:p>
            <w:pPr>
              <w:pStyle w:val="TableParagraph"/>
              <w:ind w:left="139" w:right="871"/>
              <w:rPr>
                <w:sz w:val="18"/>
              </w:rPr>
            </w:pPr>
            <w:r>
              <w:rPr>
                <w:spacing w:val="-2"/>
                <w:sz w:val="18"/>
              </w:rPr>
              <w:t>Interdependence Cooperation Mutuality</w:t>
            </w:r>
          </w:p>
        </w:tc>
      </w:tr>
      <w:tr>
        <w:trPr>
          <w:trHeight w:val="1153" w:hRule="atLeast"/>
        </w:trPr>
        <w:tc>
          <w:tcPr>
            <w:tcW w:w="4144" w:type="dxa"/>
            <w:tcBorders>
              <w:top w:val="single" w:sz="4" w:space="0" w:color="000000"/>
              <w:bottom w:val="single" w:sz="4" w:space="0" w:color="000000"/>
            </w:tcBorders>
          </w:tcPr>
          <w:p>
            <w:pPr>
              <w:pStyle w:val="TableParagraph"/>
              <w:rPr>
                <w:sz w:val="18"/>
              </w:rPr>
            </w:pPr>
            <w:r>
              <w:rPr>
                <w:sz w:val="18"/>
              </w:rPr>
              <w:t>Promotes</w:t>
            </w:r>
            <w:r>
              <w:rPr>
                <w:spacing w:val="-7"/>
                <w:sz w:val="18"/>
              </w:rPr>
              <w:t> </w:t>
            </w:r>
            <w:r>
              <w:rPr>
                <w:sz w:val="18"/>
              </w:rPr>
              <w:t>a</w:t>
            </w:r>
            <w:r>
              <w:rPr>
                <w:spacing w:val="-7"/>
                <w:sz w:val="18"/>
              </w:rPr>
              <w:t> </w:t>
            </w:r>
            <w:r>
              <w:rPr>
                <w:sz w:val="18"/>
              </w:rPr>
              <w:t>co-learning</w:t>
            </w:r>
            <w:r>
              <w:rPr>
                <w:spacing w:val="-7"/>
                <w:sz w:val="18"/>
              </w:rPr>
              <w:t> </w:t>
            </w:r>
            <w:r>
              <w:rPr>
                <w:sz w:val="18"/>
              </w:rPr>
              <w:t>and</w:t>
            </w:r>
            <w:r>
              <w:rPr>
                <w:spacing w:val="-7"/>
                <w:sz w:val="18"/>
              </w:rPr>
              <w:t> </w:t>
            </w:r>
            <w:r>
              <w:rPr>
                <w:sz w:val="18"/>
              </w:rPr>
              <w:t>empowering</w:t>
            </w:r>
            <w:r>
              <w:rPr>
                <w:spacing w:val="-7"/>
                <w:sz w:val="18"/>
              </w:rPr>
              <w:t> </w:t>
            </w:r>
            <w:r>
              <w:rPr>
                <w:sz w:val="18"/>
              </w:rPr>
              <w:t>process</w:t>
            </w:r>
            <w:r>
              <w:rPr>
                <w:spacing w:val="-7"/>
                <w:sz w:val="18"/>
              </w:rPr>
              <w:t> </w:t>
            </w:r>
            <w:r>
              <w:rPr>
                <w:sz w:val="18"/>
              </w:rPr>
              <w:t>that attends to social inequalities</w:t>
            </w:r>
          </w:p>
        </w:tc>
        <w:tc>
          <w:tcPr>
            <w:tcW w:w="2678" w:type="dxa"/>
            <w:tcBorders>
              <w:top w:val="single" w:sz="4" w:space="0" w:color="000000"/>
              <w:bottom w:val="single" w:sz="4" w:space="0" w:color="000000"/>
            </w:tcBorders>
          </w:tcPr>
          <w:p>
            <w:pPr>
              <w:pStyle w:val="TableParagraph"/>
              <w:spacing w:line="202" w:lineRule="exact"/>
              <w:ind w:left="150"/>
              <w:rPr>
                <w:i/>
                <w:sz w:val="18"/>
              </w:rPr>
            </w:pPr>
            <w:r>
              <w:rPr>
                <w:i/>
                <w:spacing w:val="-2"/>
                <w:sz w:val="18"/>
              </w:rPr>
              <w:t>Inafa’maolek</w:t>
            </w:r>
          </w:p>
        </w:tc>
        <w:tc>
          <w:tcPr>
            <w:tcW w:w="2550" w:type="dxa"/>
            <w:tcBorders>
              <w:top w:val="single" w:sz="4" w:space="0" w:color="000000"/>
              <w:bottom w:val="single" w:sz="4" w:space="0" w:color="000000"/>
            </w:tcBorders>
          </w:tcPr>
          <w:p>
            <w:pPr>
              <w:pStyle w:val="TableParagraph"/>
              <w:ind w:left="139" w:right="871"/>
              <w:rPr>
                <w:sz w:val="18"/>
              </w:rPr>
            </w:pPr>
            <w:r>
              <w:rPr>
                <w:spacing w:val="-2"/>
                <w:sz w:val="18"/>
              </w:rPr>
              <w:t>Interdependence Cooperation Mutuality Compassion</w:t>
            </w:r>
          </w:p>
          <w:p>
            <w:pPr>
              <w:pStyle w:val="TableParagraph"/>
              <w:ind w:left="139"/>
              <w:rPr>
                <w:sz w:val="18"/>
              </w:rPr>
            </w:pPr>
            <w:r>
              <w:rPr>
                <w:sz w:val="18"/>
              </w:rPr>
              <w:t>Striving</w:t>
            </w:r>
            <w:r>
              <w:rPr>
                <w:spacing w:val="-5"/>
                <w:sz w:val="18"/>
              </w:rPr>
              <w:t> </w:t>
            </w:r>
            <w:r>
              <w:rPr>
                <w:sz w:val="18"/>
              </w:rPr>
              <w:t>for</w:t>
            </w:r>
            <w:r>
              <w:rPr>
                <w:spacing w:val="-1"/>
                <w:sz w:val="18"/>
              </w:rPr>
              <w:t> </w:t>
            </w:r>
            <w:r>
              <w:rPr>
                <w:spacing w:val="-2"/>
                <w:sz w:val="18"/>
              </w:rPr>
              <w:t>harmony</w:t>
            </w:r>
          </w:p>
        </w:tc>
      </w:tr>
      <w:tr>
        <w:trPr>
          <w:trHeight w:val="482" w:hRule="atLeast"/>
        </w:trPr>
        <w:tc>
          <w:tcPr>
            <w:tcW w:w="4144" w:type="dxa"/>
            <w:tcBorders>
              <w:top w:val="single" w:sz="4" w:space="0" w:color="000000"/>
              <w:bottom w:val="single" w:sz="4" w:space="0" w:color="000000"/>
            </w:tcBorders>
          </w:tcPr>
          <w:p>
            <w:pPr>
              <w:pStyle w:val="TableParagraph"/>
              <w:spacing w:line="202" w:lineRule="exact"/>
              <w:rPr>
                <w:sz w:val="18"/>
              </w:rPr>
            </w:pPr>
            <w:r>
              <w:rPr>
                <w:sz w:val="18"/>
              </w:rPr>
              <w:t>Involves</w:t>
            </w:r>
            <w:r>
              <w:rPr>
                <w:spacing w:val="-3"/>
                <w:sz w:val="18"/>
              </w:rPr>
              <w:t> </w:t>
            </w:r>
            <w:r>
              <w:rPr>
                <w:sz w:val="18"/>
              </w:rPr>
              <w:t>a</w:t>
            </w:r>
            <w:r>
              <w:rPr>
                <w:spacing w:val="-2"/>
                <w:sz w:val="18"/>
              </w:rPr>
              <w:t> </w:t>
            </w:r>
            <w:r>
              <w:rPr>
                <w:sz w:val="18"/>
              </w:rPr>
              <w:t>cyclical</w:t>
            </w:r>
            <w:r>
              <w:rPr>
                <w:spacing w:val="-3"/>
                <w:sz w:val="18"/>
              </w:rPr>
              <w:t> </w:t>
            </w:r>
            <w:r>
              <w:rPr>
                <w:sz w:val="18"/>
              </w:rPr>
              <w:t>and</w:t>
            </w:r>
            <w:r>
              <w:rPr>
                <w:spacing w:val="-1"/>
                <w:sz w:val="18"/>
              </w:rPr>
              <w:t> </w:t>
            </w:r>
            <w:r>
              <w:rPr>
                <w:sz w:val="18"/>
              </w:rPr>
              <w:t>iterative</w:t>
            </w:r>
            <w:r>
              <w:rPr>
                <w:spacing w:val="-3"/>
                <w:sz w:val="18"/>
              </w:rPr>
              <w:t> </w:t>
            </w:r>
            <w:r>
              <w:rPr>
                <w:spacing w:val="-2"/>
                <w:sz w:val="18"/>
              </w:rPr>
              <w:t>process</w:t>
            </w:r>
          </w:p>
        </w:tc>
        <w:tc>
          <w:tcPr>
            <w:tcW w:w="2678" w:type="dxa"/>
            <w:tcBorders>
              <w:top w:val="single" w:sz="4" w:space="0" w:color="000000"/>
              <w:bottom w:val="single" w:sz="4" w:space="0" w:color="000000"/>
            </w:tcBorders>
          </w:tcPr>
          <w:p>
            <w:pPr>
              <w:pStyle w:val="TableParagraph"/>
              <w:ind w:left="150"/>
              <w:rPr>
                <w:i/>
                <w:sz w:val="18"/>
              </w:rPr>
            </w:pPr>
            <w:r>
              <w:rPr>
                <w:i/>
                <w:sz w:val="18"/>
              </w:rPr>
              <w:t>I’erensia</w:t>
            </w:r>
            <w:r>
              <w:rPr>
                <w:i/>
                <w:spacing w:val="-12"/>
                <w:sz w:val="18"/>
              </w:rPr>
              <w:t> </w:t>
            </w:r>
            <w:r>
              <w:rPr>
                <w:i/>
                <w:sz w:val="18"/>
              </w:rPr>
              <w:t>lina’la</w:t>
            </w:r>
            <w:r>
              <w:rPr>
                <w:i/>
                <w:spacing w:val="-11"/>
                <w:sz w:val="18"/>
              </w:rPr>
              <w:t> </w:t>
            </w:r>
            <w:r>
              <w:rPr>
                <w:i/>
                <w:sz w:val="18"/>
              </w:rPr>
              <w:t>espiritu-ta</w:t>
            </w:r>
            <w:r>
              <w:rPr>
                <w:i/>
                <w:spacing w:val="-11"/>
                <w:sz w:val="18"/>
              </w:rPr>
              <w:t> </w:t>
            </w:r>
            <w:r>
              <w:rPr>
                <w:i/>
                <w:sz w:val="18"/>
              </w:rPr>
              <w:t>=our</w:t>
            </w:r>
            <w:r>
              <w:rPr>
                <w:i/>
                <w:sz w:val="18"/>
              </w:rPr>
              <w:t> Heritage gives life to our spirit</w:t>
            </w:r>
          </w:p>
        </w:tc>
        <w:tc>
          <w:tcPr>
            <w:tcW w:w="2550" w:type="dxa"/>
            <w:tcBorders>
              <w:top w:val="single" w:sz="4" w:space="0" w:color="000000"/>
              <w:bottom w:val="single" w:sz="4" w:space="0" w:color="000000"/>
            </w:tcBorders>
          </w:tcPr>
          <w:p>
            <w:pPr>
              <w:pStyle w:val="TableParagraph"/>
              <w:ind w:left="139"/>
              <w:rPr>
                <w:sz w:val="18"/>
              </w:rPr>
            </w:pPr>
            <w:r>
              <w:rPr>
                <w:sz w:val="18"/>
              </w:rPr>
              <w:t>Cyclic</w:t>
            </w:r>
            <w:r>
              <w:rPr>
                <w:spacing w:val="-10"/>
                <w:sz w:val="18"/>
              </w:rPr>
              <w:t> </w:t>
            </w:r>
            <w:r>
              <w:rPr>
                <w:sz w:val="18"/>
              </w:rPr>
              <w:t>process</w:t>
            </w:r>
            <w:r>
              <w:rPr>
                <w:spacing w:val="-10"/>
                <w:sz w:val="18"/>
              </w:rPr>
              <w:t> </w:t>
            </w:r>
            <w:r>
              <w:rPr>
                <w:sz w:val="18"/>
              </w:rPr>
              <w:t>of</w:t>
            </w:r>
            <w:r>
              <w:rPr>
                <w:spacing w:val="-11"/>
                <w:sz w:val="18"/>
              </w:rPr>
              <w:t> </w:t>
            </w:r>
            <w:r>
              <w:rPr>
                <w:sz w:val="18"/>
              </w:rPr>
              <w:t>learning</w:t>
            </w:r>
            <w:r>
              <w:rPr>
                <w:spacing w:val="-8"/>
                <w:sz w:val="18"/>
              </w:rPr>
              <w:t> </w:t>
            </w:r>
            <w:r>
              <w:rPr>
                <w:sz w:val="18"/>
              </w:rPr>
              <w:t>and </w:t>
            </w:r>
            <w:r>
              <w:rPr>
                <w:spacing w:val="-2"/>
                <w:sz w:val="18"/>
              </w:rPr>
              <w:t>sharing</w:t>
            </w:r>
          </w:p>
        </w:tc>
      </w:tr>
      <w:tr>
        <w:trPr>
          <w:trHeight w:val="1048" w:hRule="atLeast"/>
        </w:trPr>
        <w:tc>
          <w:tcPr>
            <w:tcW w:w="4144" w:type="dxa"/>
            <w:tcBorders>
              <w:top w:val="single" w:sz="4" w:space="0" w:color="000000"/>
              <w:bottom w:val="single" w:sz="4" w:space="0" w:color="000000"/>
            </w:tcBorders>
          </w:tcPr>
          <w:p>
            <w:pPr>
              <w:pStyle w:val="TableParagraph"/>
              <w:ind w:right="131"/>
              <w:rPr>
                <w:sz w:val="18"/>
              </w:rPr>
            </w:pPr>
            <w:r>
              <w:rPr>
                <w:sz w:val="18"/>
              </w:rPr>
              <w:t>Emphasizes model of health that recognizes the impact</w:t>
            </w:r>
            <w:r>
              <w:rPr>
                <w:spacing w:val="-8"/>
                <w:sz w:val="18"/>
              </w:rPr>
              <w:t> </w:t>
            </w:r>
            <w:r>
              <w:rPr>
                <w:sz w:val="18"/>
              </w:rPr>
              <w:t>of</w:t>
            </w:r>
            <w:r>
              <w:rPr>
                <w:spacing w:val="-10"/>
                <w:sz w:val="18"/>
              </w:rPr>
              <w:t> </w:t>
            </w:r>
            <w:r>
              <w:rPr>
                <w:sz w:val="18"/>
              </w:rPr>
              <w:t>biomedical,</w:t>
            </w:r>
            <w:r>
              <w:rPr>
                <w:spacing w:val="-7"/>
                <w:sz w:val="18"/>
              </w:rPr>
              <w:t> </w:t>
            </w:r>
            <w:r>
              <w:rPr>
                <w:sz w:val="18"/>
              </w:rPr>
              <w:t>social,</w:t>
            </w:r>
            <w:r>
              <w:rPr>
                <w:spacing w:val="-8"/>
                <w:sz w:val="18"/>
              </w:rPr>
              <w:t> </w:t>
            </w:r>
            <w:r>
              <w:rPr>
                <w:sz w:val="18"/>
              </w:rPr>
              <w:t>economic,</w:t>
            </w:r>
            <w:r>
              <w:rPr>
                <w:spacing w:val="-8"/>
                <w:sz w:val="18"/>
              </w:rPr>
              <w:t> </w:t>
            </w:r>
            <w:r>
              <w:rPr>
                <w:sz w:val="18"/>
              </w:rPr>
              <w:t>cultural, historical</w:t>
            </w:r>
            <w:r>
              <w:rPr>
                <w:spacing w:val="-6"/>
                <w:sz w:val="18"/>
              </w:rPr>
              <w:t> </w:t>
            </w:r>
            <w:r>
              <w:rPr>
                <w:sz w:val="18"/>
              </w:rPr>
              <w:t>and</w:t>
            </w:r>
            <w:r>
              <w:rPr>
                <w:spacing w:val="-7"/>
                <w:sz w:val="18"/>
              </w:rPr>
              <w:t> </w:t>
            </w:r>
            <w:r>
              <w:rPr>
                <w:sz w:val="18"/>
              </w:rPr>
              <w:t>political</w:t>
            </w:r>
            <w:r>
              <w:rPr>
                <w:spacing w:val="-6"/>
                <w:sz w:val="18"/>
              </w:rPr>
              <w:t> </w:t>
            </w:r>
            <w:r>
              <w:rPr>
                <w:sz w:val="18"/>
              </w:rPr>
              <w:t>factors</w:t>
            </w:r>
            <w:r>
              <w:rPr>
                <w:spacing w:val="-6"/>
                <w:sz w:val="18"/>
              </w:rPr>
              <w:t> </w:t>
            </w:r>
            <w:r>
              <w:rPr>
                <w:sz w:val="18"/>
              </w:rPr>
              <w:t>as</w:t>
            </w:r>
            <w:r>
              <w:rPr>
                <w:spacing w:val="-7"/>
                <w:sz w:val="18"/>
              </w:rPr>
              <w:t> </w:t>
            </w:r>
            <w:r>
              <w:rPr>
                <w:sz w:val="18"/>
              </w:rPr>
              <w:t>determinants</w:t>
            </w:r>
            <w:r>
              <w:rPr>
                <w:spacing w:val="-6"/>
                <w:sz w:val="18"/>
              </w:rPr>
              <w:t> </w:t>
            </w:r>
            <w:r>
              <w:rPr>
                <w:sz w:val="18"/>
              </w:rPr>
              <w:t>of health and disease</w:t>
            </w:r>
          </w:p>
        </w:tc>
        <w:tc>
          <w:tcPr>
            <w:tcW w:w="2678" w:type="dxa"/>
            <w:tcBorders>
              <w:top w:val="single" w:sz="4" w:space="0" w:color="000000"/>
              <w:bottom w:val="single" w:sz="4" w:space="0" w:color="000000"/>
            </w:tcBorders>
          </w:tcPr>
          <w:p>
            <w:pPr>
              <w:pStyle w:val="TableParagraph"/>
              <w:spacing w:line="202" w:lineRule="exact"/>
              <w:ind w:left="150"/>
              <w:rPr>
                <w:i/>
                <w:sz w:val="18"/>
              </w:rPr>
            </w:pPr>
            <w:r>
              <w:rPr>
                <w:i/>
                <w:spacing w:val="-2"/>
                <w:sz w:val="18"/>
              </w:rPr>
              <w:t>Inafa’maolek</w:t>
            </w:r>
          </w:p>
        </w:tc>
        <w:tc>
          <w:tcPr>
            <w:tcW w:w="2550" w:type="dxa"/>
            <w:tcBorders>
              <w:top w:val="single" w:sz="4" w:space="0" w:color="000000"/>
              <w:bottom w:val="single" w:sz="4" w:space="0" w:color="000000"/>
            </w:tcBorders>
          </w:tcPr>
          <w:p>
            <w:pPr>
              <w:pStyle w:val="TableParagraph"/>
              <w:spacing w:line="202" w:lineRule="exact"/>
              <w:ind w:left="139"/>
              <w:rPr>
                <w:sz w:val="18"/>
              </w:rPr>
            </w:pPr>
            <w:r>
              <w:rPr>
                <w:sz w:val="18"/>
              </w:rPr>
              <w:t>Striving</w:t>
            </w:r>
            <w:r>
              <w:rPr>
                <w:spacing w:val="-5"/>
                <w:sz w:val="18"/>
              </w:rPr>
              <w:t> </w:t>
            </w:r>
            <w:r>
              <w:rPr>
                <w:sz w:val="18"/>
              </w:rPr>
              <w:t>for</w:t>
            </w:r>
            <w:r>
              <w:rPr>
                <w:spacing w:val="-1"/>
                <w:sz w:val="18"/>
              </w:rPr>
              <w:t> </w:t>
            </w:r>
            <w:r>
              <w:rPr>
                <w:spacing w:val="-2"/>
                <w:sz w:val="18"/>
              </w:rPr>
              <w:t>harmony</w:t>
            </w:r>
          </w:p>
        </w:tc>
      </w:tr>
      <w:tr>
        <w:trPr>
          <w:trHeight w:val="731" w:hRule="atLeast"/>
        </w:trPr>
        <w:tc>
          <w:tcPr>
            <w:tcW w:w="4144" w:type="dxa"/>
            <w:tcBorders>
              <w:top w:val="single" w:sz="4" w:space="0" w:color="000000"/>
              <w:bottom w:val="single" w:sz="4" w:space="0" w:color="000000"/>
            </w:tcBorders>
          </w:tcPr>
          <w:p>
            <w:pPr>
              <w:pStyle w:val="TableParagraph"/>
              <w:spacing w:line="242" w:lineRule="auto"/>
              <w:rPr>
                <w:sz w:val="18"/>
              </w:rPr>
            </w:pPr>
            <w:r>
              <w:rPr>
                <w:sz w:val="18"/>
              </w:rPr>
              <w:t>Disseminates</w:t>
            </w:r>
            <w:r>
              <w:rPr>
                <w:spacing w:val="-5"/>
                <w:sz w:val="18"/>
              </w:rPr>
              <w:t> </w:t>
            </w:r>
            <w:r>
              <w:rPr>
                <w:sz w:val="18"/>
              </w:rPr>
              <w:t>findings</w:t>
            </w:r>
            <w:r>
              <w:rPr>
                <w:spacing w:val="-7"/>
                <w:sz w:val="18"/>
              </w:rPr>
              <w:t> </w:t>
            </w:r>
            <w:r>
              <w:rPr>
                <w:sz w:val="18"/>
              </w:rPr>
              <w:t>and</w:t>
            </w:r>
            <w:r>
              <w:rPr>
                <w:spacing w:val="-8"/>
                <w:sz w:val="18"/>
              </w:rPr>
              <w:t> </w:t>
            </w:r>
            <w:r>
              <w:rPr>
                <w:sz w:val="18"/>
              </w:rPr>
              <w:t>knowledge</w:t>
            </w:r>
            <w:r>
              <w:rPr>
                <w:spacing w:val="-5"/>
                <w:sz w:val="18"/>
              </w:rPr>
              <w:t> </w:t>
            </w:r>
            <w:r>
              <w:rPr>
                <w:sz w:val="18"/>
              </w:rPr>
              <w:t>gained</w:t>
            </w:r>
            <w:r>
              <w:rPr>
                <w:spacing w:val="-6"/>
                <w:sz w:val="18"/>
              </w:rPr>
              <w:t> </w:t>
            </w:r>
            <w:r>
              <w:rPr>
                <w:sz w:val="18"/>
              </w:rPr>
              <w:t>to</w:t>
            </w:r>
            <w:r>
              <w:rPr>
                <w:spacing w:val="-6"/>
                <w:sz w:val="18"/>
              </w:rPr>
              <w:t> </w:t>
            </w:r>
            <w:r>
              <w:rPr>
                <w:sz w:val="18"/>
              </w:rPr>
              <w:t>all partners, with input and permission of all partners</w:t>
            </w:r>
          </w:p>
        </w:tc>
        <w:tc>
          <w:tcPr>
            <w:tcW w:w="2678" w:type="dxa"/>
            <w:tcBorders>
              <w:top w:val="single" w:sz="4" w:space="0" w:color="000000"/>
              <w:bottom w:val="single" w:sz="4" w:space="0" w:color="000000"/>
            </w:tcBorders>
          </w:tcPr>
          <w:p>
            <w:pPr>
              <w:pStyle w:val="TableParagraph"/>
              <w:spacing w:line="242" w:lineRule="auto"/>
              <w:ind w:left="150"/>
              <w:rPr>
                <w:i/>
                <w:sz w:val="18"/>
              </w:rPr>
            </w:pPr>
            <w:r>
              <w:rPr>
                <w:i/>
                <w:sz w:val="18"/>
              </w:rPr>
              <w:t>I’erensia</w:t>
            </w:r>
            <w:r>
              <w:rPr>
                <w:i/>
                <w:spacing w:val="-12"/>
                <w:sz w:val="18"/>
              </w:rPr>
              <w:t> </w:t>
            </w:r>
            <w:r>
              <w:rPr>
                <w:i/>
                <w:sz w:val="18"/>
              </w:rPr>
              <w:t>lina’la</w:t>
            </w:r>
            <w:r>
              <w:rPr>
                <w:i/>
                <w:spacing w:val="-11"/>
                <w:sz w:val="18"/>
              </w:rPr>
              <w:t> </w:t>
            </w:r>
            <w:r>
              <w:rPr>
                <w:i/>
                <w:sz w:val="18"/>
              </w:rPr>
              <w:t>espiritu-ta</w:t>
            </w:r>
            <w:r>
              <w:rPr>
                <w:i/>
                <w:spacing w:val="-11"/>
                <w:sz w:val="18"/>
              </w:rPr>
              <w:t> </w:t>
            </w:r>
            <w:r>
              <w:rPr>
                <w:i/>
                <w:sz w:val="18"/>
              </w:rPr>
              <w:t>=our</w:t>
            </w:r>
            <w:r>
              <w:rPr>
                <w:i/>
                <w:sz w:val="18"/>
              </w:rPr>
              <w:t> Heritage gives life to our spirit</w:t>
            </w:r>
          </w:p>
        </w:tc>
        <w:tc>
          <w:tcPr>
            <w:tcW w:w="2550" w:type="dxa"/>
            <w:tcBorders>
              <w:top w:val="single" w:sz="4" w:space="0" w:color="000000"/>
              <w:bottom w:val="single" w:sz="4" w:space="0" w:color="000000"/>
            </w:tcBorders>
          </w:tcPr>
          <w:p>
            <w:pPr>
              <w:pStyle w:val="TableParagraph"/>
              <w:spacing w:line="242" w:lineRule="auto"/>
              <w:ind w:left="139" w:right="820"/>
              <w:rPr>
                <w:sz w:val="18"/>
              </w:rPr>
            </w:pPr>
            <w:r>
              <w:rPr>
                <w:spacing w:val="-2"/>
                <w:sz w:val="18"/>
              </w:rPr>
              <w:t>Dissemination</w:t>
            </w:r>
            <w:r>
              <w:rPr>
                <w:spacing w:val="40"/>
                <w:sz w:val="18"/>
              </w:rPr>
              <w:t> </w:t>
            </w:r>
            <w:r>
              <w:rPr>
                <w:sz w:val="18"/>
              </w:rPr>
              <w:t>Sharing</w:t>
            </w:r>
            <w:r>
              <w:rPr>
                <w:spacing w:val="-12"/>
                <w:sz w:val="18"/>
              </w:rPr>
              <w:t> </w:t>
            </w:r>
            <w:r>
              <w:rPr>
                <w:sz w:val="18"/>
              </w:rPr>
              <w:t>of</w:t>
            </w:r>
            <w:r>
              <w:rPr>
                <w:spacing w:val="-11"/>
                <w:sz w:val="18"/>
              </w:rPr>
              <w:t> </w:t>
            </w:r>
            <w:r>
              <w:rPr>
                <w:sz w:val="18"/>
              </w:rPr>
              <w:t>knowledge</w:t>
            </w:r>
          </w:p>
        </w:tc>
      </w:tr>
    </w:tbl>
    <w:p>
      <w:pPr>
        <w:spacing w:after="0" w:line="242" w:lineRule="auto"/>
        <w:rPr>
          <w:sz w:val="18"/>
        </w:rPr>
        <w:sectPr>
          <w:type w:val="continuous"/>
          <w:pgSz w:w="12240" w:h="15840"/>
          <w:pgMar w:header="721" w:footer="792" w:top="1340" w:bottom="980" w:left="1320" w:right="1320"/>
        </w:sectPr>
      </w:pPr>
    </w:p>
    <w:p>
      <w:pPr>
        <w:pStyle w:val="BodyText"/>
        <w:spacing w:before="81"/>
        <w:ind w:right="40"/>
        <w:jc w:val="both"/>
      </w:pPr>
      <w:r>
        <w:rPr/>
        <w:t>and documentation of our real-world</w:t>
      </w:r>
      <w:r>
        <w:rPr>
          <w:spacing w:val="40"/>
        </w:rPr>
        <w:t> </w:t>
      </w:r>
      <w:r>
        <w:rPr/>
        <w:t>experiences with the conduct of CBPR, initially prompted by opportunities to share our work at several national meetings.</w:t>
      </w:r>
    </w:p>
    <w:p>
      <w:pPr>
        <w:pStyle w:val="BodyText"/>
        <w:ind w:left="0"/>
      </w:pPr>
    </w:p>
    <w:p>
      <w:pPr>
        <w:pStyle w:val="BodyText"/>
        <w:ind w:right="38"/>
        <w:jc w:val="both"/>
      </w:pPr>
      <w:r>
        <w:rPr/>
        <w:t>Our analysis involved review of meeting notes and memos, and discussions of the various perspectives of stakeholders from within GCN and the CBPR partnership. This process helped us to identify lessons learned and areas for improvement as we continue to build our partnership and work together. The inclusive authorship of the resulting article reflects the</w:t>
      </w:r>
      <w:r>
        <w:rPr>
          <w:spacing w:val="40"/>
        </w:rPr>
        <w:t> </w:t>
      </w:r>
      <w:r>
        <w:rPr/>
        <w:t>fact that all members of this partnership had a stake in</w:t>
      </w:r>
      <w:r>
        <w:rPr>
          <w:spacing w:val="-2"/>
        </w:rPr>
        <w:t> </w:t>
      </w:r>
      <w:r>
        <w:rPr/>
        <w:t>reviewing</w:t>
      </w:r>
      <w:r>
        <w:rPr>
          <w:spacing w:val="-2"/>
        </w:rPr>
        <w:t> </w:t>
      </w:r>
      <w:r>
        <w:rPr/>
        <w:t>and sharing</w:t>
      </w:r>
      <w:r>
        <w:rPr>
          <w:spacing w:val="-2"/>
        </w:rPr>
        <w:t> </w:t>
      </w:r>
      <w:r>
        <w:rPr/>
        <w:t>their perspectives on these experiences.</w:t>
      </w:r>
    </w:p>
    <w:p>
      <w:pPr>
        <w:pStyle w:val="BodyText"/>
        <w:spacing w:before="6"/>
        <w:ind w:left="0"/>
      </w:pPr>
    </w:p>
    <w:p>
      <w:pPr>
        <w:pStyle w:val="Heading1"/>
        <w:spacing w:line="250" w:lineRule="exact"/>
      </w:pPr>
      <w:r>
        <w:rPr/>
        <w:t>Relationship</w:t>
      </w:r>
      <w:r>
        <w:rPr>
          <w:spacing w:val="-6"/>
        </w:rPr>
        <w:t> </w:t>
      </w:r>
      <w:r>
        <w:rPr>
          <w:spacing w:val="-2"/>
        </w:rPr>
        <w:t>Development</w:t>
      </w:r>
    </w:p>
    <w:p>
      <w:pPr>
        <w:pStyle w:val="BodyText"/>
        <w:ind w:right="40"/>
        <w:jc w:val="both"/>
      </w:pPr>
      <w:r>
        <w:rPr/>
        <w:t>In 2008, a junior PhD health services researcher from a local university with a strong interest in cancer and health disparities undertook a career development program to gain research experience in CBPR. She approached a senior academic partner associated with the PATH for Women program about a possible collaboration in which she would gain experience in CBPR while collaborating on a research project of</w:t>
      </w:r>
      <w:r>
        <w:rPr>
          <w:spacing w:val="40"/>
        </w:rPr>
        <w:t> </w:t>
      </w:r>
      <w:r>
        <w:rPr/>
        <w:t>value to PATH for Women.</w:t>
      </w:r>
    </w:p>
    <w:p>
      <w:pPr>
        <w:pStyle w:val="BodyText"/>
        <w:spacing w:before="252"/>
        <w:ind w:right="38"/>
        <w:jc w:val="both"/>
      </w:pPr>
      <w:r>
        <w:rPr/>
        <w:t>Through an iterative process, the program director interacted with the researcher and community agency to establish interest and readiness to partner in a community-based evaluation effort.</w:t>
      </w:r>
      <w:r>
        <w:rPr>
          <w:spacing w:val="40"/>
        </w:rPr>
        <w:t> </w:t>
      </w:r>
      <w:r>
        <w:rPr/>
        <w:t>Information including the researcher’s curriculum vitae and a brief</w:t>
      </w:r>
      <w:r>
        <w:rPr>
          <w:spacing w:val="40"/>
        </w:rPr>
        <w:t> </w:t>
      </w:r>
      <w:r>
        <w:rPr/>
        <w:t>personal statement were provided for the</w:t>
      </w:r>
      <w:r>
        <w:rPr>
          <w:spacing w:val="40"/>
        </w:rPr>
        <w:t> </w:t>
      </w:r>
      <w:r>
        <w:rPr/>
        <w:t>partners to learn more about the researcher’s interests. Face to face meetings were also arranged so that all parties had the opportunity</w:t>
      </w:r>
      <w:r>
        <w:rPr>
          <w:spacing w:val="80"/>
        </w:rPr>
        <w:t> </w:t>
      </w:r>
      <w:r>
        <w:rPr/>
        <w:t>to get to know one another. As a result of these interactions, including monthly face to face meetings lasting two to three hours each, conference calls, and email exchanges, a partnership began to develop over the Fall of 2008, and in 2009 we began the process of actively</w:t>
      </w:r>
      <w:r>
        <w:rPr>
          <w:spacing w:val="-1"/>
        </w:rPr>
        <w:t> </w:t>
      </w:r>
      <w:r>
        <w:rPr/>
        <w:t>considering</w:t>
      </w:r>
      <w:r>
        <w:rPr>
          <w:spacing w:val="-1"/>
        </w:rPr>
        <w:t> </w:t>
      </w:r>
      <w:r>
        <w:rPr/>
        <w:t>a research collaboration.</w:t>
      </w:r>
      <w:r>
        <w:rPr>
          <w:spacing w:val="-1"/>
        </w:rPr>
        <w:t> </w:t>
      </w:r>
      <w:r>
        <w:rPr/>
        <w:t>As a result of continued monthly meetings as well</w:t>
      </w:r>
      <w:r>
        <w:rPr>
          <w:spacing w:val="40"/>
        </w:rPr>
        <w:t> </w:t>
      </w:r>
      <w:r>
        <w:rPr/>
        <w:t>as email</w:t>
      </w:r>
      <w:r>
        <w:rPr>
          <w:spacing w:val="-1"/>
        </w:rPr>
        <w:t> </w:t>
      </w:r>
      <w:r>
        <w:rPr/>
        <w:t>and</w:t>
      </w:r>
      <w:r>
        <w:rPr>
          <w:spacing w:val="-3"/>
        </w:rPr>
        <w:t> </w:t>
      </w:r>
      <w:r>
        <w:rPr/>
        <w:t>telephone communications</w:t>
      </w:r>
      <w:r>
        <w:rPr>
          <w:spacing w:val="-1"/>
        </w:rPr>
        <w:t> </w:t>
      </w:r>
      <w:r>
        <w:rPr/>
        <w:t>over the first</w:t>
      </w:r>
      <w:r>
        <w:rPr>
          <w:spacing w:val="-2"/>
        </w:rPr>
        <w:t> </w:t>
      </w:r>
      <w:r>
        <w:rPr/>
        <w:t>quarter</w:t>
      </w:r>
      <w:r>
        <w:rPr>
          <w:spacing w:val="-2"/>
        </w:rPr>
        <w:t> </w:t>
      </w:r>
      <w:r>
        <w:rPr/>
        <w:t>of</w:t>
      </w:r>
      <w:r>
        <w:rPr>
          <w:spacing w:val="-2"/>
        </w:rPr>
        <w:t> </w:t>
      </w:r>
      <w:r>
        <w:rPr/>
        <w:t>2009,</w:t>
      </w:r>
      <w:r>
        <w:rPr>
          <w:spacing w:val="-3"/>
        </w:rPr>
        <w:t> </w:t>
      </w:r>
      <w:r>
        <w:rPr/>
        <w:t>a</w:t>
      </w:r>
      <w:r>
        <w:rPr>
          <w:spacing w:val="-3"/>
        </w:rPr>
        <w:t> </w:t>
      </w:r>
      <w:r>
        <w:rPr/>
        <w:t>set</w:t>
      </w:r>
      <w:r>
        <w:rPr>
          <w:spacing w:val="-2"/>
        </w:rPr>
        <w:t> </w:t>
      </w:r>
      <w:r>
        <w:rPr/>
        <w:t>of</w:t>
      </w:r>
      <w:r>
        <w:rPr>
          <w:spacing w:val="-2"/>
        </w:rPr>
        <w:t> </w:t>
      </w:r>
      <w:r>
        <w:rPr/>
        <w:t>community-defined and prioritized needs and goals was established, while</w:t>
      </w:r>
      <w:r>
        <w:rPr>
          <w:spacing w:val="79"/>
        </w:rPr>
        <w:t> </w:t>
      </w:r>
      <w:r>
        <w:rPr/>
        <w:t>nurturing</w:t>
      </w:r>
      <w:r>
        <w:rPr>
          <w:spacing w:val="79"/>
        </w:rPr>
        <w:t> </w:t>
      </w:r>
      <w:r>
        <w:rPr/>
        <w:t>trust</w:t>
      </w:r>
      <w:r>
        <w:rPr>
          <w:spacing w:val="53"/>
          <w:w w:val="150"/>
        </w:rPr>
        <w:t> </w:t>
      </w:r>
      <w:r>
        <w:rPr/>
        <w:t>and</w:t>
      </w:r>
      <w:r>
        <w:rPr>
          <w:spacing w:val="79"/>
        </w:rPr>
        <w:t> </w:t>
      </w:r>
      <w:r>
        <w:rPr/>
        <w:t>a</w:t>
      </w:r>
      <w:r>
        <w:rPr>
          <w:spacing w:val="55"/>
          <w:w w:val="150"/>
        </w:rPr>
        <w:t> </w:t>
      </w:r>
      <w:r>
        <w:rPr/>
        <w:t>sense</w:t>
      </w:r>
      <w:r>
        <w:rPr>
          <w:spacing w:val="54"/>
          <w:w w:val="150"/>
        </w:rPr>
        <w:t> </w:t>
      </w:r>
      <w:r>
        <w:rPr/>
        <w:t>of</w:t>
      </w:r>
      <w:r>
        <w:rPr>
          <w:spacing w:val="55"/>
          <w:w w:val="150"/>
        </w:rPr>
        <w:t> </w:t>
      </w:r>
      <w:r>
        <w:rPr>
          <w:spacing w:val="-2"/>
        </w:rPr>
        <w:t>shared</w:t>
      </w:r>
    </w:p>
    <w:p>
      <w:pPr>
        <w:pStyle w:val="BodyText"/>
        <w:spacing w:before="81"/>
        <w:ind w:right="114"/>
        <w:jc w:val="both"/>
      </w:pPr>
      <w:r>
        <w:rPr/>
        <w:br w:type="column"/>
      </w:r>
      <w:r>
        <w:rPr/>
        <w:t>values and common goals. This reflects the CBPR principles of recognizing the community as</w:t>
      </w:r>
      <w:r>
        <w:rPr>
          <w:spacing w:val="-3"/>
        </w:rPr>
        <w:t> </w:t>
      </w:r>
      <w:r>
        <w:rPr/>
        <w:t>a</w:t>
      </w:r>
      <w:r>
        <w:rPr>
          <w:spacing w:val="-3"/>
        </w:rPr>
        <w:t> </w:t>
      </w:r>
      <w:r>
        <w:rPr/>
        <w:t>unit</w:t>
      </w:r>
      <w:r>
        <w:rPr>
          <w:spacing w:val="-2"/>
        </w:rPr>
        <w:t> </w:t>
      </w:r>
      <w:r>
        <w:rPr/>
        <w:t>of</w:t>
      </w:r>
      <w:r>
        <w:rPr>
          <w:spacing w:val="-3"/>
        </w:rPr>
        <w:t> </w:t>
      </w:r>
      <w:r>
        <w:rPr/>
        <w:t>identity</w:t>
      </w:r>
      <w:r>
        <w:rPr>
          <w:spacing w:val="-5"/>
        </w:rPr>
        <w:t> </w:t>
      </w:r>
      <w:r>
        <w:rPr/>
        <w:t>and</w:t>
      </w:r>
      <w:r>
        <w:rPr>
          <w:spacing w:val="-3"/>
        </w:rPr>
        <w:t> </w:t>
      </w:r>
      <w:r>
        <w:rPr/>
        <w:t>building</w:t>
      </w:r>
      <w:r>
        <w:rPr>
          <w:spacing w:val="-5"/>
        </w:rPr>
        <w:t> </w:t>
      </w:r>
      <w:r>
        <w:rPr/>
        <w:t>on</w:t>
      </w:r>
      <w:r>
        <w:rPr>
          <w:spacing w:val="-3"/>
        </w:rPr>
        <w:t> </w:t>
      </w:r>
      <w:r>
        <w:rPr/>
        <w:t>the</w:t>
      </w:r>
      <w:r>
        <w:rPr>
          <w:spacing w:val="-3"/>
        </w:rPr>
        <w:t> </w:t>
      </w:r>
      <w:r>
        <w:rPr/>
        <w:t>strengths and resources within the community to facilitate an effort for mutual benefit to all partners.</w:t>
      </w:r>
    </w:p>
    <w:p>
      <w:pPr>
        <w:pStyle w:val="BodyText"/>
        <w:spacing w:before="252"/>
        <w:ind w:right="114"/>
        <w:jc w:val="both"/>
      </w:pPr>
      <w:r>
        <w:rPr/>
        <w:t>In the Pacific Islands, people engage in informal conversations commonly known as “talk story” (Taosaka, 2002). Talk story is focused on conversations to help newly introduced parties</w:t>
      </w:r>
      <w:r>
        <w:rPr>
          <w:spacing w:val="40"/>
        </w:rPr>
        <w:t> </w:t>
      </w:r>
      <w:r>
        <w:rPr/>
        <w:t>to learn more about one another, share information, establish common ground, and</w:t>
      </w:r>
      <w:r>
        <w:rPr>
          <w:spacing w:val="40"/>
        </w:rPr>
        <w:t> </w:t>
      </w:r>
      <w:r>
        <w:rPr/>
        <w:t>build trust. Among those with an existing relationship, talk story serves to re-establish and reinforce relationships and trust. While curriculum vitas and personal biographies are important, it is through this iterative process in which individuals are able to dialogue that foundations for trust and partnership are established. Following this tradition, initial meetings involved face-to-face gatherings of GCN staff and the researcher, talking story, and sharing meals. GCNs Executive Director as well as staff members interviewed the researcher about her background, motivations, interests,</w:t>
      </w:r>
      <w:r>
        <w:rPr>
          <w:spacing w:val="40"/>
        </w:rPr>
        <w:t> </w:t>
      </w:r>
      <w:r>
        <w:rPr/>
        <w:t>and commitment to CBPR and to Pacific Islanders and the Chamorro community. Key principles were established, namely, the importance of viewing the community as a partner</w:t>
      </w:r>
      <w:r>
        <w:rPr>
          <w:spacing w:val="-6"/>
        </w:rPr>
        <w:t> </w:t>
      </w:r>
      <w:r>
        <w:rPr/>
        <w:t>in,</w:t>
      </w:r>
      <w:r>
        <w:rPr>
          <w:spacing w:val="-4"/>
        </w:rPr>
        <w:t> </w:t>
      </w:r>
      <w:r>
        <w:rPr/>
        <w:t>rather</w:t>
      </w:r>
      <w:r>
        <w:rPr>
          <w:spacing w:val="-4"/>
        </w:rPr>
        <w:t> </w:t>
      </w:r>
      <w:r>
        <w:rPr/>
        <w:t>than</w:t>
      </w:r>
      <w:r>
        <w:rPr>
          <w:spacing w:val="-4"/>
        </w:rPr>
        <w:t> </w:t>
      </w:r>
      <w:r>
        <w:rPr/>
        <w:t>the</w:t>
      </w:r>
      <w:r>
        <w:rPr>
          <w:spacing w:val="-4"/>
        </w:rPr>
        <w:t> </w:t>
      </w:r>
      <w:r>
        <w:rPr/>
        <w:t>subject</w:t>
      </w:r>
      <w:r>
        <w:rPr>
          <w:spacing w:val="-3"/>
        </w:rPr>
        <w:t> </w:t>
      </w:r>
      <w:r>
        <w:rPr/>
        <w:t>of</w:t>
      </w:r>
      <w:r>
        <w:rPr>
          <w:spacing w:val="-4"/>
        </w:rPr>
        <w:t> </w:t>
      </w:r>
      <w:r>
        <w:rPr/>
        <w:t>research,</w:t>
      </w:r>
      <w:r>
        <w:rPr>
          <w:spacing w:val="-4"/>
        </w:rPr>
        <w:t> </w:t>
      </w:r>
      <w:r>
        <w:rPr/>
        <w:t>the establishment of a full and equal partnership in all phases of the work, with commitments to shared power in terms of decision-making, data ownership, and ensuring results benefit the community through the dissemination of</w:t>
      </w:r>
      <w:r>
        <w:rPr>
          <w:spacing w:val="40"/>
        </w:rPr>
        <w:t> </w:t>
      </w:r>
      <w:r>
        <w:rPr/>
        <w:t>findings to all partners and the community.</w:t>
      </w:r>
    </w:p>
    <w:p>
      <w:pPr>
        <w:pStyle w:val="BodyText"/>
        <w:spacing w:before="2"/>
        <w:ind w:left="0"/>
      </w:pPr>
    </w:p>
    <w:p>
      <w:pPr>
        <w:pStyle w:val="BodyText"/>
        <w:ind w:right="115"/>
        <w:jc w:val="both"/>
      </w:pPr>
      <w:r>
        <w:rPr/>
        <w:t>Other concerns included the establishment of a long-term relationship, and leveraging project activities to involve the mentorship of young community members. These principles, recognized as fundamentals of CBPR, are also highly consistent with the Chamorro cultural concept of </w:t>
      </w:r>
      <w:r>
        <w:rPr>
          <w:i/>
        </w:rPr>
        <w:t>Inafa’ maolek</w:t>
      </w:r>
      <w:r>
        <w:rPr/>
        <w:t>, which encompasses understanding how others feel, and acting on those feelings with care and concern; the promotion of interconnectedness, compassion, and caring; developing and nurturing trust, sharing, mutual respect, and co-learning; and mutuality, reciprocity, and cooperative spirit over individualism (Table 1).</w:t>
      </w:r>
    </w:p>
    <w:p>
      <w:pPr>
        <w:spacing w:after="0"/>
        <w:jc w:val="both"/>
        <w:sectPr>
          <w:pgSz w:w="12240" w:h="15840"/>
          <w:pgMar w:header="721" w:footer="792" w:top="1340" w:bottom="980" w:left="1320" w:right="1320"/>
          <w:cols w:num="2" w:equalWidth="0">
            <w:col w:w="4484" w:space="557"/>
            <w:col w:w="4559"/>
          </w:cols>
        </w:sectPr>
      </w:pPr>
    </w:p>
    <w:p>
      <w:pPr>
        <w:pStyle w:val="BodyText"/>
        <w:spacing w:before="81"/>
        <w:ind w:right="39"/>
        <w:jc w:val="both"/>
      </w:pPr>
      <w:r>
        <w:rPr/>
        <w:t>Together, through various discussions, alternative directions for collaborative research were considered. The pros and cons of various research ideas with respect to community priorities, the resources of each partner, feasibility of implementation, and potential for future</w:t>
      </w:r>
      <w:r>
        <w:rPr>
          <w:spacing w:val="-6"/>
        </w:rPr>
        <w:t> </w:t>
      </w:r>
      <w:r>
        <w:rPr/>
        <w:t>sustainability</w:t>
      </w:r>
      <w:r>
        <w:rPr>
          <w:spacing w:val="-9"/>
        </w:rPr>
        <w:t> </w:t>
      </w:r>
      <w:r>
        <w:rPr/>
        <w:t>through</w:t>
      </w:r>
      <w:r>
        <w:rPr>
          <w:spacing w:val="-6"/>
        </w:rPr>
        <w:t> </w:t>
      </w:r>
      <w:r>
        <w:rPr/>
        <w:t>grants</w:t>
      </w:r>
      <w:r>
        <w:rPr>
          <w:spacing w:val="-8"/>
        </w:rPr>
        <w:t> </w:t>
      </w:r>
      <w:r>
        <w:rPr/>
        <w:t>for</w:t>
      </w:r>
      <w:r>
        <w:rPr>
          <w:spacing w:val="-8"/>
        </w:rPr>
        <w:t> </w:t>
      </w:r>
      <w:r>
        <w:rPr/>
        <w:t>follow-on work were discussed in a series of subsequent meetings. Input and advice were also obtained from the PATH for Women director and the senior academic partner, who have been longstanding, trusted partners of the community for many years. After discussions and deliberations over approximately six face-to- face meetings and numerous follow-up email</w:t>
      </w:r>
      <w:r>
        <w:rPr>
          <w:spacing w:val="40"/>
        </w:rPr>
        <w:t> </w:t>
      </w:r>
      <w:r>
        <w:rPr/>
        <w:t>and telephone communications including proposals, counter-proposals, and discussions of pros and cons, we decided to pursue a process evaluation of GCN’s or </w:t>
      </w:r>
      <w:r>
        <w:rPr>
          <w:i/>
        </w:rPr>
        <w:t>Målle' </w:t>
      </w:r>
      <w:r>
        <w:rPr/>
        <w:t>program. While this process was time consuming, it was important in the relationship building process and in identifying the priorities and needs of the community.</w:t>
      </w:r>
      <w:r>
        <w:rPr>
          <w:spacing w:val="-6"/>
        </w:rPr>
        <w:t> </w:t>
      </w:r>
      <w:r>
        <w:rPr/>
        <w:t>This</w:t>
      </w:r>
      <w:r>
        <w:rPr>
          <w:spacing w:val="-6"/>
        </w:rPr>
        <w:t> </w:t>
      </w:r>
      <w:r>
        <w:rPr/>
        <w:t>process</w:t>
      </w:r>
      <w:r>
        <w:rPr>
          <w:spacing w:val="-6"/>
        </w:rPr>
        <w:t> </w:t>
      </w:r>
      <w:r>
        <w:rPr/>
        <w:t>also</w:t>
      </w:r>
      <w:r>
        <w:rPr>
          <w:spacing w:val="-6"/>
        </w:rPr>
        <w:t> </w:t>
      </w:r>
      <w:r>
        <w:rPr/>
        <w:t>helped</w:t>
      </w:r>
      <w:r>
        <w:rPr>
          <w:spacing w:val="-8"/>
        </w:rPr>
        <w:t> </w:t>
      </w:r>
      <w:r>
        <w:rPr/>
        <w:t>to</w:t>
      </w:r>
      <w:r>
        <w:rPr>
          <w:spacing w:val="-6"/>
        </w:rPr>
        <w:t> </w:t>
      </w:r>
      <w:r>
        <w:rPr/>
        <w:t>facilitate co-learning about one another, as individuals, agencies and the roles of both within the community. This interdependence facilitates the CBPR principle of co-learning and empowerment to address social inequalities, as well as learning to recognize each other’s </w:t>
      </w:r>
      <w:r>
        <w:rPr>
          <w:spacing w:val="-2"/>
        </w:rPr>
        <w:t>strengths.</w:t>
      </w:r>
    </w:p>
    <w:p>
      <w:pPr>
        <w:pStyle w:val="BodyText"/>
        <w:spacing w:before="2"/>
        <w:ind w:left="0"/>
      </w:pPr>
    </w:p>
    <w:p>
      <w:pPr>
        <w:pStyle w:val="BodyText"/>
        <w:ind w:right="38"/>
        <w:jc w:val="both"/>
      </w:pPr>
      <w:r>
        <w:rPr/>
        <w:t>Early meetings also focused on an ongoing process of defining and articulating principles and values of the partnership, and developing structures and explicit policies to ensure that the principles and values of an equal partnership would be implemented in day-to-day practice. Together we developed a memorandum of understanding which outlined our partnership principles and values, based on the principles of CBPR as articulated by Israel (1998) and Wells (2009), roles and responsibilities, and outlined several policies, procedures, and to begin to establish and to guide our actual operating norms, modeled after work by Wells and Jones (2009), Palermo et al, (2006), and Greene- Moton et al. (2006). Significant issues included transparency with respect to each partner’s</w:t>
      </w:r>
      <w:r>
        <w:rPr>
          <w:spacing w:val="80"/>
        </w:rPr>
        <w:t> </w:t>
      </w:r>
      <w:r>
        <w:rPr/>
        <w:t>needs and goals, data ownership, budget and other resource issues, designated point persons, preferred</w:t>
      </w:r>
      <w:r>
        <w:rPr>
          <w:spacing w:val="71"/>
        </w:rPr>
        <w:t> </w:t>
      </w:r>
      <w:r>
        <w:rPr/>
        <w:t>modes</w:t>
      </w:r>
      <w:r>
        <w:rPr>
          <w:spacing w:val="71"/>
        </w:rPr>
        <w:t> </w:t>
      </w:r>
      <w:r>
        <w:rPr/>
        <w:t>of</w:t>
      </w:r>
      <w:r>
        <w:rPr>
          <w:spacing w:val="72"/>
        </w:rPr>
        <w:t> </w:t>
      </w:r>
      <w:r>
        <w:rPr/>
        <w:t>communication,</w:t>
      </w:r>
      <w:r>
        <w:rPr>
          <w:spacing w:val="71"/>
        </w:rPr>
        <w:t> </w:t>
      </w:r>
      <w:r>
        <w:rPr>
          <w:spacing w:val="-2"/>
        </w:rPr>
        <w:t>decision-</w:t>
      </w:r>
    </w:p>
    <w:p>
      <w:pPr>
        <w:pStyle w:val="BodyText"/>
        <w:spacing w:before="81"/>
        <w:ind w:right="118"/>
        <w:jc w:val="both"/>
      </w:pPr>
      <w:r>
        <w:rPr/>
        <w:br w:type="column"/>
      </w:r>
      <w:r>
        <w:rPr/>
        <w:t>making processes, and approaches for conflict resolution should the need arise.</w:t>
      </w:r>
    </w:p>
    <w:p>
      <w:pPr>
        <w:pStyle w:val="BodyText"/>
        <w:ind w:left="0"/>
      </w:pPr>
    </w:p>
    <w:p>
      <w:pPr>
        <w:pStyle w:val="BodyText"/>
        <w:ind w:right="114"/>
        <w:jc w:val="both"/>
      </w:pPr>
      <w:r>
        <w:rPr/>
        <w:t>Over the following several months, we set to work laying out the details of our research protocol and developing our application for review</w:t>
      </w:r>
      <w:r>
        <w:rPr>
          <w:spacing w:val="-2"/>
        </w:rPr>
        <w:t> </w:t>
      </w:r>
      <w:r>
        <w:rPr/>
        <w:t>by</w:t>
      </w:r>
      <w:r>
        <w:rPr>
          <w:spacing w:val="-4"/>
        </w:rPr>
        <w:t> </w:t>
      </w:r>
      <w:r>
        <w:rPr/>
        <w:t>academic</w:t>
      </w:r>
      <w:r>
        <w:rPr>
          <w:spacing w:val="-1"/>
        </w:rPr>
        <w:t> </w:t>
      </w:r>
      <w:r>
        <w:rPr/>
        <w:t>and</w:t>
      </w:r>
      <w:r>
        <w:rPr>
          <w:spacing w:val="-1"/>
        </w:rPr>
        <w:t> </w:t>
      </w:r>
      <w:r>
        <w:rPr/>
        <w:t>community</w:t>
      </w:r>
      <w:r>
        <w:rPr>
          <w:spacing w:val="-4"/>
        </w:rPr>
        <w:t> </w:t>
      </w:r>
      <w:r>
        <w:rPr/>
        <w:t>institutional review boards (IRBs) for the protection of research subjects. To honor the equitable and collaborative aspect of CBPR and to empower community, we agreed to develop applications for both IRBs. The Special Services for Groups community</w:t>
      </w:r>
      <w:r>
        <w:rPr>
          <w:spacing w:val="-6"/>
        </w:rPr>
        <w:t> </w:t>
      </w:r>
      <w:r>
        <w:rPr/>
        <w:t>IRB</w:t>
      </w:r>
      <w:r>
        <w:rPr>
          <w:spacing w:val="-6"/>
        </w:rPr>
        <w:t> </w:t>
      </w:r>
      <w:r>
        <w:rPr/>
        <w:t>application</w:t>
      </w:r>
      <w:r>
        <w:rPr>
          <w:spacing w:val="-5"/>
        </w:rPr>
        <w:t> </w:t>
      </w:r>
      <w:r>
        <w:rPr/>
        <w:t>process</w:t>
      </w:r>
      <w:r>
        <w:rPr>
          <w:spacing w:val="-4"/>
        </w:rPr>
        <w:t> </w:t>
      </w:r>
      <w:r>
        <w:rPr/>
        <w:t>is</w:t>
      </w:r>
      <w:r>
        <w:rPr>
          <w:spacing w:val="-5"/>
        </w:rPr>
        <w:t> </w:t>
      </w:r>
      <w:r>
        <w:rPr/>
        <w:t>a</w:t>
      </w:r>
      <w:r>
        <w:rPr>
          <w:spacing w:val="-5"/>
        </w:rPr>
        <w:t> </w:t>
      </w:r>
      <w:r>
        <w:rPr/>
        <w:t>rigorous one, which compels partners to simultaneously examine details of their plans for their research activities, participation of and impact on the community, and the fundamentals of the project and research partnership. The University of California Los Angeles IRB additionally required human subjects protection training of the community staff who would be involved</w:t>
      </w:r>
      <w:r>
        <w:rPr>
          <w:spacing w:val="40"/>
        </w:rPr>
        <w:t> </w:t>
      </w:r>
      <w:r>
        <w:rPr/>
        <w:t>with recruitment of participants, focus group moderation, and data analysis, and also required the</w:t>
      </w:r>
      <w:r>
        <w:rPr>
          <w:spacing w:val="-5"/>
        </w:rPr>
        <w:t> </w:t>
      </w:r>
      <w:r>
        <w:rPr/>
        <w:t>community</w:t>
      </w:r>
      <w:r>
        <w:rPr>
          <w:spacing w:val="-7"/>
        </w:rPr>
        <w:t> </w:t>
      </w:r>
      <w:r>
        <w:rPr/>
        <w:t>agency</w:t>
      </w:r>
      <w:r>
        <w:rPr>
          <w:spacing w:val="-7"/>
        </w:rPr>
        <w:t> </w:t>
      </w:r>
      <w:r>
        <w:rPr/>
        <w:t>to</w:t>
      </w:r>
      <w:r>
        <w:rPr>
          <w:spacing w:val="-5"/>
        </w:rPr>
        <w:t> </w:t>
      </w:r>
      <w:r>
        <w:rPr/>
        <w:t>obtain</w:t>
      </w:r>
      <w:r>
        <w:rPr>
          <w:spacing w:val="-5"/>
        </w:rPr>
        <w:t> </w:t>
      </w:r>
      <w:r>
        <w:rPr/>
        <w:t>a</w:t>
      </w:r>
      <w:r>
        <w:rPr>
          <w:spacing w:val="-5"/>
        </w:rPr>
        <w:t> </w:t>
      </w:r>
      <w:r>
        <w:rPr/>
        <w:t>Department</w:t>
      </w:r>
      <w:r>
        <w:rPr>
          <w:spacing w:val="-4"/>
        </w:rPr>
        <w:t> </w:t>
      </w:r>
      <w:r>
        <w:rPr/>
        <w:t>of Health and Human Services Office for Human Research Protections Federalwide Assurance. The process from reaching preliminary agreement on research project concept,</w:t>
      </w:r>
      <w:r>
        <w:rPr>
          <w:spacing w:val="40"/>
        </w:rPr>
        <w:t> </w:t>
      </w:r>
      <w:r>
        <w:rPr/>
        <w:t>directions and strategies to obtaining approvals from both IRBs took nearly one year.</w:t>
      </w:r>
    </w:p>
    <w:p>
      <w:pPr>
        <w:pStyle w:val="Heading1"/>
        <w:spacing w:line="500" w:lineRule="atLeast" w:before="13"/>
        <w:ind w:right="1779" w:firstLine="1663"/>
      </w:pPr>
      <w:r>
        <w:rPr>
          <w:spacing w:val="-2"/>
        </w:rPr>
        <w:t>Discussion</w:t>
      </w:r>
      <w:r>
        <w:rPr>
          <w:spacing w:val="-2"/>
        </w:rPr>
        <w:t> </w:t>
      </w:r>
      <w:r>
        <w:rPr/>
        <w:t>Overcoming Challenges</w:t>
      </w:r>
    </w:p>
    <w:p>
      <w:pPr>
        <w:pStyle w:val="BodyText"/>
        <w:spacing w:before="1"/>
        <w:ind w:right="114"/>
        <w:jc w:val="both"/>
      </w:pPr>
      <w:r>
        <w:rPr/>
        <w:t>Next, we share observations and reflections regarding certain challenges that can often arise in community partnered research projects. The following is not meant to be an exhaustive discussion, but reflects issues that we have experienced in our partnership. The following issues were identified through a review of notes from project meetings and discussions on challenges we have faced, lessons learned, and recommendations we believe may be useful to others planning to engage in CBPR. These are summarized in Table 2.</w:t>
      </w:r>
    </w:p>
    <w:p>
      <w:pPr>
        <w:pStyle w:val="BodyText"/>
        <w:spacing w:before="4"/>
        <w:ind w:left="0"/>
      </w:pPr>
    </w:p>
    <w:p>
      <w:pPr>
        <w:pStyle w:val="Heading1"/>
        <w:ind w:right="175"/>
      </w:pPr>
      <w:r>
        <w:rPr/>
        <w:t>Communication</w:t>
      </w:r>
      <w:r>
        <w:rPr>
          <w:spacing w:val="-10"/>
        </w:rPr>
        <w:t> </w:t>
      </w:r>
      <w:r>
        <w:rPr/>
        <w:t>of</w:t>
      </w:r>
      <w:r>
        <w:rPr>
          <w:spacing w:val="-4"/>
        </w:rPr>
        <w:t> </w:t>
      </w:r>
      <w:r>
        <w:rPr/>
        <w:t>Each</w:t>
      </w:r>
      <w:r>
        <w:rPr>
          <w:spacing w:val="-10"/>
        </w:rPr>
        <w:t> </w:t>
      </w:r>
      <w:r>
        <w:rPr/>
        <w:t>Partner’s</w:t>
      </w:r>
      <w:r>
        <w:rPr>
          <w:spacing w:val="-7"/>
        </w:rPr>
        <w:t> </w:t>
      </w:r>
      <w:r>
        <w:rPr/>
        <w:t>Needs</w:t>
      </w:r>
      <w:r>
        <w:rPr>
          <w:spacing w:val="-7"/>
        </w:rPr>
        <w:t> </w:t>
      </w:r>
      <w:r>
        <w:rPr/>
        <w:t>and </w:t>
      </w:r>
      <w:r>
        <w:rPr>
          <w:spacing w:val="-2"/>
        </w:rPr>
        <w:t>Goals</w:t>
      </w:r>
    </w:p>
    <w:p>
      <w:pPr>
        <w:pStyle w:val="BodyText"/>
        <w:ind w:right="114"/>
        <w:jc w:val="both"/>
      </w:pPr>
      <w:r>
        <w:rPr/>
        <w:t>Academic researchers and</w:t>
      </w:r>
      <w:r>
        <w:rPr>
          <w:spacing w:val="-2"/>
        </w:rPr>
        <w:t> </w:t>
      </w:r>
      <w:r>
        <w:rPr/>
        <w:t>community</w:t>
      </w:r>
      <w:r>
        <w:rPr>
          <w:spacing w:val="-3"/>
        </w:rPr>
        <w:t> </w:t>
      </w:r>
      <w:r>
        <w:rPr/>
        <w:t>advocates often</w:t>
      </w:r>
      <w:r>
        <w:rPr>
          <w:spacing w:val="13"/>
        </w:rPr>
        <w:t> </w:t>
      </w:r>
      <w:r>
        <w:rPr/>
        <w:t>share</w:t>
      </w:r>
      <w:r>
        <w:rPr>
          <w:spacing w:val="14"/>
        </w:rPr>
        <w:t> </w:t>
      </w:r>
      <w:r>
        <w:rPr/>
        <w:t>many</w:t>
      </w:r>
      <w:r>
        <w:rPr>
          <w:spacing w:val="11"/>
        </w:rPr>
        <w:t> </w:t>
      </w:r>
      <w:r>
        <w:rPr/>
        <w:t>of</w:t>
      </w:r>
      <w:r>
        <w:rPr>
          <w:spacing w:val="13"/>
        </w:rPr>
        <w:t> </w:t>
      </w:r>
      <w:r>
        <w:rPr/>
        <w:t>the</w:t>
      </w:r>
      <w:r>
        <w:rPr>
          <w:spacing w:val="11"/>
        </w:rPr>
        <w:t> </w:t>
      </w:r>
      <w:r>
        <w:rPr/>
        <w:t>same</w:t>
      </w:r>
      <w:r>
        <w:rPr>
          <w:spacing w:val="14"/>
        </w:rPr>
        <w:t> </w:t>
      </w:r>
      <w:r>
        <w:rPr/>
        <w:t>overarching</w:t>
      </w:r>
      <w:r>
        <w:rPr>
          <w:spacing w:val="12"/>
        </w:rPr>
        <w:t> </w:t>
      </w:r>
      <w:r>
        <w:rPr>
          <w:spacing w:val="-2"/>
        </w:rPr>
        <w:t>long-</w:t>
      </w:r>
    </w:p>
    <w:p>
      <w:pPr>
        <w:spacing w:after="0"/>
        <w:jc w:val="both"/>
        <w:sectPr>
          <w:pgSz w:w="12240" w:h="15840"/>
          <w:pgMar w:header="721" w:footer="792" w:top="1340" w:bottom="980" w:left="1320" w:right="1320"/>
          <w:cols w:num="2" w:equalWidth="0">
            <w:col w:w="4485" w:space="555"/>
            <w:col w:w="4560"/>
          </w:cols>
        </w:sectPr>
      </w:pPr>
    </w:p>
    <w:p>
      <w:pPr>
        <w:pStyle w:val="BodyText"/>
        <w:spacing w:before="81"/>
        <w:ind w:right="38"/>
        <w:jc w:val="both"/>
      </w:pPr>
      <w:r>
        <w:rPr/>
        <w:t>term goals such as a desire to ameliorate health disparities in the community. However, some intermediate goals do not always overlap. Doyle (2006; 2008) has articulated a number of community and researcher goals that can at</w:t>
      </w:r>
      <w:r>
        <w:rPr>
          <w:spacing w:val="40"/>
        </w:rPr>
        <w:t> </w:t>
      </w:r>
      <w:r>
        <w:rPr/>
        <w:t>times be sources of tension in the process of conducting CBPR. In the world of research, in Doyle’s view, individuals are often driven to meet the institutional expectations of “productivity,” which in this setting is measured in terms of publication volume and ongoing extramural funding within a limited time frame prior to decisions about faculty retention and promotion. Community service, even when required, is frequently viewed as making a negligible contribution towards decisions about faculty retention. Moreover, in research universities, evidence of “independent” work is often emphasized over more collaborative team efforts. In the world of community leaders and advocates are driven by the need to build and sustain trusting relationships over time, in order to work towards long-term goals of real and lasting change in the community. Community leaders must be concerned not only with the short-term needs of a particular project, but</w:t>
      </w:r>
      <w:r>
        <w:rPr>
          <w:spacing w:val="40"/>
        </w:rPr>
        <w:t> </w:t>
      </w:r>
      <w:r>
        <w:rPr/>
        <w:t>long-term consequences of what they ask of</w:t>
      </w:r>
      <w:r>
        <w:rPr>
          <w:spacing w:val="40"/>
        </w:rPr>
        <w:t> </w:t>
      </w:r>
      <w:r>
        <w:rPr/>
        <w:t>their staff, clients, partner organizations, and other constituents in the community, and what relevant results or benefits accrue to the community to which they are accountable. Developing a shared understanding of each partners’ needs, pressures, and perspectives through both ongoing dialogue and action is essential to developing a trusting, sustainable </w:t>
      </w:r>
      <w:r>
        <w:rPr>
          <w:spacing w:val="-2"/>
        </w:rPr>
        <w:t>relationship.</w:t>
      </w:r>
    </w:p>
    <w:p>
      <w:pPr>
        <w:pStyle w:val="BodyText"/>
        <w:spacing w:before="6"/>
        <w:ind w:left="0"/>
      </w:pPr>
    </w:p>
    <w:p>
      <w:pPr>
        <w:pStyle w:val="Heading1"/>
        <w:spacing w:line="250" w:lineRule="exact"/>
      </w:pPr>
      <w:r>
        <w:rPr/>
        <w:t>Structure</w:t>
      </w:r>
      <w:r>
        <w:rPr>
          <w:spacing w:val="-3"/>
        </w:rPr>
        <w:t> </w:t>
      </w:r>
      <w:r>
        <w:rPr/>
        <w:t>of</w:t>
      </w:r>
      <w:r>
        <w:rPr>
          <w:spacing w:val="-5"/>
        </w:rPr>
        <w:t> </w:t>
      </w:r>
      <w:r>
        <w:rPr/>
        <w:t>Funding</w:t>
      </w:r>
      <w:r>
        <w:rPr>
          <w:spacing w:val="-2"/>
        </w:rPr>
        <w:t> Mechanism</w:t>
      </w:r>
    </w:p>
    <w:p>
      <w:pPr>
        <w:pStyle w:val="BodyText"/>
        <w:ind w:right="39"/>
        <w:jc w:val="both"/>
      </w:pPr>
      <w:r>
        <w:rPr/>
        <w:t>The particular context in which the authors’ partnership was born presented certain opportunities and challenges. In this case, the academic partner was funded by an award mechanism with an aim focused on career development. The benefit of this arrangement from the standpoint of a new CBPR project was that a large proportion of her total time was protected to work on this project, as compared with common arrangements in which the researcher’s time is split across numerous research projects and a large teaching and/or clinical</w:t>
      </w:r>
      <w:r>
        <w:rPr>
          <w:spacing w:val="5"/>
        </w:rPr>
        <w:t> </w:t>
      </w:r>
      <w:r>
        <w:rPr/>
        <w:t>workload.</w:t>
      </w:r>
      <w:r>
        <w:rPr>
          <w:spacing w:val="3"/>
        </w:rPr>
        <w:t> </w:t>
      </w:r>
      <w:r>
        <w:rPr/>
        <w:t>The</w:t>
      </w:r>
      <w:r>
        <w:rPr>
          <w:spacing w:val="5"/>
        </w:rPr>
        <w:t> </w:t>
      </w:r>
      <w:r>
        <w:rPr/>
        <w:t>disadvantage</w:t>
      </w:r>
      <w:r>
        <w:rPr>
          <w:spacing w:val="4"/>
        </w:rPr>
        <w:t> </w:t>
      </w:r>
      <w:r>
        <w:rPr/>
        <w:t>was</w:t>
      </w:r>
      <w:r>
        <w:rPr>
          <w:spacing w:val="6"/>
        </w:rPr>
        <w:t> </w:t>
      </w:r>
      <w:r>
        <w:rPr/>
        <w:t>that,</w:t>
      </w:r>
      <w:r>
        <w:rPr>
          <w:spacing w:val="5"/>
        </w:rPr>
        <w:t> </w:t>
      </w:r>
      <w:r>
        <w:rPr>
          <w:spacing w:val="-5"/>
        </w:rPr>
        <w:t>as</w:t>
      </w:r>
    </w:p>
    <w:p>
      <w:pPr>
        <w:pStyle w:val="BodyText"/>
        <w:spacing w:before="81"/>
        <w:ind w:right="111"/>
        <w:jc w:val="both"/>
      </w:pPr>
      <w:r>
        <w:rPr/>
        <w:br w:type="column"/>
      </w:r>
      <w:r>
        <w:rPr/>
        <w:t>is common with career development award mechanisms, funds for actual project operations were limited. In addition, funds were controlled by the academic partner’s research institution. Lack of independent funding controlled by community partners is not ideal for true partnership in the conduct of CBPR. Although sub-optimal, our arrangement proved workable due to the synergies between this project and GCN’s funded PATH for Women scope of</w:t>
      </w:r>
      <w:r>
        <w:rPr>
          <w:spacing w:val="40"/>
        </w:rPr>
        <w:t> </w:t>
      </w:r>
      <w:r>
        <w:rPr/>
        <w:t>work. The PATH for Women project ensured resource support to GCN to operate and</w:t>
      </w:r>
      <w:r>
        <w:rPr>
          <w:spacing w:val="40"/>
        </w:rPr>
        <w:t> </w:t>
      </w:r>
      <w:r>
        <w:rPr/>
        <w:t>maintain the </w:t>
      </w:r>
      <w:r>
        <w:rPr>
          <w:i/>
        </w:rPr>
        <w:t>Målle' </w:t>
      </w:r>
      <w:r>
        <w:rPr/>
        <w:t>project, such that an evaluation component could be developed through this career development project.</w:t>
      </w:r>
      <w:r>
        <w:rPr>
          <w:spacing w:val="40"/>
        </w:rPr>
        <w:t> </w:t>
      </w:r>
      <w:r>
        <w:rPr/>
        <w:t>Often, community</w:t>
      </w:r>
      <w:r>
        <w:rPr>
          <w:spacing w:val="-9"/>
        </w:rPr>
        <w:t> </w:t>
      </w:r>
      <w:r>
        <w:rPr/>
        <w:t>and</w:t>
      </w:r>
      <w:r>
        <w:rPr>
          <w:spacing w:val="-7"/>
        </w:rPr>
        <w:t> </w:t>
      </w:r>
      <w:r>
        <w:rPr/>
        <w:t>academic</w:t>
      </w:r>
      <w:r>
        <w:rPr>
          <w:spacing w:val="-5"/>
        </w:rPr>
        <w:t> </w:t>
      </w:r>
      <w:r>
        <w:rPr/>
        <w:t>partners</w:t>
      </w:r>
      <w:r>
        <w:rPr>
          <w:spacing w:val="-7"/>
        </w:rPr>
        <w:t> </w:t>
      </w:r>
      <w:r>
        <w:rPr/>
        <w:t>alike</w:t>
      </w:r>
      <w:r>
        <w:rPr>
          <w:spacing w:val="-7"/>
        </w:rPr>
        <w:t> </w:t>
      </w:r>
      <w:r>
        <w:rPr/>
        <w:t>continue their efforts well beyond the funding cycle of a grant; commitments do not drop because</w:t>
      </w:r>
      <w:r>
        <w:rPr>
          <w:spacing w:val="80"/>
        </w:rPr>
        <w:t> </w:t>
      </w:r>
      <w:r>
        <w:rPr/>
        <w:t>funding has ceased.</w:t>
      </w:r>
      <w:r>
        <w:rPr>
          <w:spacing w:val="40"/>
        </w:rPr>
        <w:t> </w:t>
      </w:r>
      <w:r>
        <w:rPr/>
        <w:t>It must, therefore, be noted that financial resources are needed to initiate, support, and maintain CBPR efforts. While in this case other resources supported the community organization, it is important to consider what value there is for community- based agencies to engage in CBPR efforts when initially there are no resources to support the time and effort involved in relationship development. In addition, the typical funding arrangement in which academic institutions hold and distribute grant funds perpetuates power imbalances.</w:t>
      </w:r>
      <w:r>
        <w:rPr>
          <w:spacing w:val="-3"/>
        </w:rPr>
        <w:t> </w:t>
      </w:r>
      <w:r>
        <w:rPr/>
        <w:t>Faced</w:t>
      </w:r>
      <w:r>
        <w:rPr>
          <w:spacing w:val="-4"/>
        </w:rPr>
        <w:t> </w:t>
      </w:r>
      <w:r>
        <w:rPr/>
        <w:t>with</w:t>
      </w:r>
      <w:r>
        <w:rPr>
          <w:spacing w:val="-7"/>
        </w:rPr>
        <w:t> </w:t>
      </w:r>
      <w:r>
        <w:rPr/>
        <w:t>this</w:t>
      </w:r>
      <w:r>
        <w:rPr>
          <w:spacing w:val="-6"/>
        </w:rPr>
        <w:t> </w:t>
      </w:r>
      <w:r>
        <w:rPr/>
        <w:t>situation</w:t>
      </w:r>
      <w:r>
        <w:rPr>
          <w:spacing w:val="-7"/>
        </w:rPr>
        <w:t> </w:t>
      </w:r>
      <w:r>
        <w:rPr/>
        <w:t>in</w:t>
      </w:r>
      <w:r>
        <w:rPr>
          <w:spacing w:val="-4"/>
        </w:rPr>
        <w:t> </w:t>
      </w:r>
      <w:r>
        <w:rPr/>
        <w:t>our</w:t>
      </w:r>
      <w:r>
        <w:rPr>
          <w:spacing w:val="-4"/>
        </w:rPr>
        <w:t> </w:t>
      </w:r>
      <w:r>
        <w:rPr/>
        <w:t>case, we did our best for transparency and partnership in terms of laying out the budget within the parameters for what funds could be allocated for what purposes, and have sought to work in partnership to determine, for example, what funds could be used to include community members as focus group moderators and interpreters,</w:t>
      </w:r>
      <w:r>
        <w:rPr>
          <w:spacing w:val="-4"/>
        </w:rPr>
        <w:t> </w:t>
      </w:r>
      <w:r>
        <w:rPr/>
        <w:t>and</w:t>
      </w:r>
      <w:r>
        <w:rPr>
          <w:spacing w:val="-6"/>
        </w:rPr>
        <w:t> </w:t>
      </w:r>
      <w:r>
        <w:rPr/>
        <w:t>for</w:t>
      </w:r>
      <w:r>
        <w:rPr>
          <w:spacing w:val="-4"/>
        </w:rPr>
        <w:t> </w:t>
      </w:r>
      <w:r>
        <w:rPr/>
        <w:t>stipends</w:t>
      </w:r>
      <w:r>
        <w:rPr>
          <w:spacing w:val="-4"/>
        </w:rPr>
        <w:t> </w:t>
      </w:r>
      <w:r>
        <w:rPr/>
        <w:t>to</w:t>
      </w:r>
      <w:r>
        <w:rPr>
          <w:spacing w:val="-4"/>
        </w:rPr>
        <w:t> </w:t>
      </w:r>
      <w:r>
        <w:rPr/>
        <w:t>honor</w:t>
      </w:r>
      <w:r>
        <w:rPr>
          <w:spacing w:val="-6"/>
        </w:rPr>
        <w:t> </w:t>
      </w:r>
      <w:r>
        <w:rPr/>
        <w:t>the</w:t>
      </w:r>
      <w:r>
        <w:rPr>
          <w:spacing w:val="-6"/>
        </w:rPr>
        <w:t> </w:t>
      </w:r>
      <w:r>
        <w:rPr/>
        <w:t>time</w:t>
      </w:r>
      <w:r>
        <w:rPr>
          <w:spacing w:val="-4"/>
        </w:rPr>
        <w:t> </w:t>
      </w:r>
      <w:r>
        <w:rPr/>
        <w:t>of community advisors.</w:t>
      </w:r>
    </w:p>
    <w:p>
      <w:pPr>
        <w:pStyle w:val="BodyText"/>
        <w:ind w:left="0"/>
      </w:pPr>
    </w:p>
    <w:p>
      <w:pPr>
        <w:pStyle w:val="BodyText"/>
        <w:spacing w:before="6"/>
        <w:ind w:left="0"/>
      </w:pPr>
    </w:p>
    <w:p>
      <w:pPr>
        <w:pStyle w:val="Heading1"/>
        <w:spacing w:line="251" w:lineRule="exact" w:before="1"/>
      </w:pPr>
      <w:r>
        <w:rPr/>
        <w:t>The</w:t>
      </w:r>
      <w:r>
        <w:rPr>
          <w:spacing w:val="-4"/>
        </w:rPr>
        <w:t> </w:t>
      </w:r>
      <w:r>
        <w:rPr/>
        <w:t>Need</w:t>
      </w:r>
      <w:r>
        <w:rPr>
          <w:spacing w:val="-3"/>
        </w:rPr>
        <w:t> </w:t>
      </w:r>
      <w:r>
        <w:rPr/>
        <w:t>for</w:t>
      </w:r>
      <w:r>
        <w:rPr>
          <w:spacing w:val="-1"/>
        </w:rPr>
        <w:t> </w:t>
      </w:r>
      <w:r>
        <w:rPr>
          <w:spacing w:val="-4"/>
        </w:rPr>
        <w:t>Time</w:t>
      </w:r>
    </w:p>
    <w:p>
      <w:pPr>
        <w:pStyle w:val="BodyText"/>
        <w:ind w:right="115"/>
        <w:jc w:val="both"/>
      </w:pPr>
      <w:r>
        <w:rPr/>
        <w:t>Time</w:t>
      </w:r>
      <w:r>
        <w:rPr>
          <w:spacing w:val="-4"/>
        </w:rPr>
        <w:t> </w:t>
      </w:r>
      <w:r>
        <w:rPr/>
        <w:t>is</w:t>
      </w:r>
      <w:r>
        <w:rPr>
          <w:spacing w:val="-4"/>
        </w:rPr>
        <w:t> </w:t>
      </w:r>
      <w:r>
        <w:rPr/>
        <w:t>arguably</w:t>
      </w:r>
      <w:r>
        <w:rPr>
          <w:spacing w:val="-7"/>
        </w:rPr>
        <w:t> </w:t>
      </w:r>
      <w:r>
        <w:rPr/>
        <w:t>as</w:t>
      </w:r>
      <w:r>
        <w:rPr>
          <w:spacing w:val="-4"/>
        </w:rPr>
        <w:t> </w:t>
      </w:r>
      <w:r>
        <w:rPr/>
        <w:t>scarce</w:t>
      </w:r>
      <w:r>
        <w:rPr>
          <w:spacing w:val="-6"/>
        </w:rPr>
        <w:t> </w:t>
      </w:r>
      <w:r>
        <w:rPr/>
        <w:t>a</w:t>
      </w:r>
      <w:r>
        <w:rPr>
          <w:spacing w:val="-4"/>
        </w:rPr>
        <w:t> </w:t>
      </w:r>
      <w:r>
        <w:rPr/>
        <w:t>resource</w:t>
      </w:r>
      <w:r>
        <w:rPr>
          <w:spacing w:val="-4"/>
        </w:rPr>
        <w:t> </w:t>
      </w:r>
      <w:r>
        <w:rPr/>
        <w:t>as</w:t>
      </w:r>
      <w:r>
        <w:rPr>
          <w:spacing w:val="-4"/>
        </w:rPr>
        <w:t> </w:t>
      </w:r>
      <w:r>
        <w:rPr/>
        <w:t>funding. In the community, active community advocates, directors and staff of community-based organizations are typically pressured to deliver more and more services with less and less funding, working long hours, many of which are often uncompensated, to meet the needs of their clients while keeping their organization afloat.</w:t>
      </w:r>
    </w:p>
    <w:p>
      <w:pPr>
        <w:spacing w:after="0"/>
        <w:jc w:val="both"/>
        <w:sectPr>
          <w:pgSz w:w="12240" w:h="15840"/>
          <w:pgMar w:header="721" w:footer="792" w:top="1340" w:bottom="980" w:left="1320" w:right="1320"/>
          <w:cols w:num="2" w:equalWidth="0">
            <w:col w:w="4484" w:space="557"/>
            <w:col w:w="4559"/>
          </w:cols>
        </w:sectPr>
      </w:pPr>
    </w:p>
    <w:p>
      <w:pPr>
        <w:pStyle w:val="Heading1"/>
        <w:spacing w:before="86"/>
        <w:ind w:left="0" w:right="192"/>
        <w:jc w:val="center"/>
      </w:pPr>
      <w:r>
        <w:rPr/>
        <w:t>Table </w:t>
      </w:r>
      <w:r>
        <w:rPr>
          <w:spacing w:val="-10"/>
        </w:rPr>
        <w:t>2</w:t>
      </w:r>
    </w:p>
    <w:p>
      <w:pPr>
        <w:pStyle w:val="BodyText"/>
        <w:spacing w:before="249" w:after="5"/>
        <w:ind w:left="0" w:right="192"/>
        <w:jc w:val="center"/>
      </w:pPr>
      <w:r>
        <w:rPr/>
        <w:t>Overcoming</w:t>
      </w:r>
      <w:r>
        <w:rPr>
          <w:spacing w:val="-11"/>
        </w:rPr>
        <w:t> </w:t>
      </w:r>
      <w:r>
        <w:rPr>
          <w:spacing w:val="-2"/>
        </w:rPr>
        <w:t>Challenges</w:t>
      </w:r>
    </w:p>
    <w:tbl>
      <w:tblPr>
        <w:tblW w:w="0" w:type="auto"/>
        <w:jc w:val="left"/>
        <w:tblInd w:w="1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454"/>
        <w:gridCol w:w="3022"/>
        <w:gridCol w:w="3741"/>
      </w:tblGrid>
      <w:tr>
        <w:trPr>
          <w:trHeight w:val="208" w:hRule="atLeast"/>
        </w:trPr>
        <w:tc>
          <w:tcPr>
            <w:tcW w:w="2454" w:type="dxa"/>
            <w:tcBorders>
              <w:top w:val="single" w:sz="4" w:space="0" w:color="000000"/>
              <w:bottom w:val="single" w:sz="4" w:space="0" w:color="000000"/>
            </w:tcBorders>
          </w:tcPr>
          <w:p>
            <w:pPr>
              <w:pStyle w:val="TableParagraph"/>
              <w:spacing w:line="188" w:lineRule="exact"/>
              <w:rPr>
                <w:b/>
                <w:sz w:val="18"/>
              </w:rPr>
            </w:pPr>
            <w:r>
              <w:rPr>
                <w:b/>
                <w:spacing w:val="-4"/>
                <w:sz w:val="18"/>
              </w:rPr>
              <w:t>Goal</w:t>
            </w:r>
          </w:p>
        </w:tc>
        <w:tc>
          <w:tcPr>
            <w:tcW w:w="3022" w:type="dxa"/>
            <w:tcBorders>
              <w:top w:val="single" w:sz="4" w:space="0" w:color="000000"/>
              <w:bottom w:val="single" w:sz="4" w:space="0" w:color="000000"/>
            </w:tcBorders>
          </w:tcPr>
          <w:p>
            <w:pPr>
              <w:pStyle w:val="TableParagraph"/>
              <w:spacing w:line="188" w:lineRule="exact"/>
              <w:ind w:left="116"/>
              <w:rPr>
                <w:b/>
                <w:sz w:val="18"/>
              </w:rPr>
            </w:pPr>
            <w:r>
              <w:rPr>
                <w:b/>
                <w:spacing w:val="-2"/>
                <w:sz w:val="18"/>
              </w:rPr>
              <w:t>Challenges/Barriers</w:t>
            </w:r>
          </w:p>
        </w:tc>
        <w:tc>
          <w:tcPr>
            <w:tcW w:w="3741" w:type="dxa"/>
            <w:tcBorders>
              <w:top w:val="single" w:sz="4" w:space="0" w:color="000000"/>
              <w:bottom w:val="single" w:sz="4" w:space="0" w:color="000000"/>
            </w:tcBorders>
          </w:tcPr>
          <w:p>
            <w:pPr>
              <w:pStyle w:val="TableParagraph"/>
              <w:spacing w:line="188" w:lineRule="exact"/>
              <w:ind w:left="131"/>
              <w:rPr>
                <w:b/>
                <w:sz w:val="18"/>
              </w:rPr>
            </w:pPr>
            <w:r>
              <w:rPr>
                <w:b/>
                <w:spacing w:val="-2"/>
                <w:sz w:val="18"/>
              </w:rPr>
              <w:t>Response</w:t>
            </w:r>
          </w:p>
        </w:tc>
      </w:tr>
      <w:tr>
        <w:trPr>
          <w:trHeight w:val="1077" w:hRule="atLeast"/>
        </w:trPr>
        <w:tc>
          <w:tcPr>
            <w:tcW w:w="2454" w:type="dxa"/>
            <w:tcBorders>
              <w:top w:val="single" w:sz="4" w:space="0" w:color="000000"/>
              <w:bottom w:val="single" w:sz="4" w:space="0" w:color="000000"/>
            </w:tcBorders>
          </w:tcPr>
          <w:p>
            <w:pPr>
              <w:pStyle w:val="TableParagraph"/>
              <w:ind w:right="180"/>
              <w:rPr>
                <w:sz w:val="18"/>
              </w:rPr>
            </w:pPr>
            <w:r>
              <w:rPr>
                <w:sz w:val="18"/>
              </w:rPr>
              <w:t>Relationship</w:t>
            </w:r>
            <w:r>
              <w:rPr>
                <w:spacing w:val="-12"/>
                <w:sz w:val="18"/>
              </w:rPr>
              <w:t> </w:t>
            </w:r>
            <w:r>
              <w:rPr>
                <w:sz w:val="18"/>
              </w:rPr>
              <w:t>and</w:t>
            </w:r>
            <w:r>
              <w:rPr>
                <w:spacing w:val="-11"/>
                <w:sz w:val="18"/>
              </w:rPr>
              <w:t> </w:t>
            </w:r>
            <w:r>
              <w:rPr>
                <w:sz w:val="18"/>
              </w:rPr>
              <w:t>trust- </w:t>
            </w:r>
            <w:r>
              <w:rPr>
                <w:spacing w:val="-2"/>
                <w:sz w:val="18"/>
              </w:rPr>
              <w:t>building.</w:t>
            </w:r>
          </w:p>
        </w:tc>
        <w:tc>
          <w:tcPr>
            <w:tcW w:w="3022" w:type="dxa"/>
            <w:tcBorders>
              <w:top w:val="single" w:sz="4" w:space="0" w:color="000000"/>
              <w:bottom w:val="single" w:sz="4" w:space="0" w:color="000000"/>
            </w:tcBorders>
          </w:tcPr>
          <w:p>
            <w:pPr>
              <w:pStyle w:val="TableParagraph"/>
              <w:ind w:left="116"/>
              <w:rPr>
                <w:sz w:val="18"/>
              </w:rPr>
            </w:pPr>
            <w:r>
              <w:rPr>
                <w:sz w:val="18"/>
              </w:rPr>
              <w:t>Time,</w:t>
            </w:r>
            <w:r>
              <w:rPr>
                <w:spacing w:val="-7"/>
                <w:sz w:val="18"/>
              </w:rPr>
              <w:t> </w:t>
            </w:r>
            <w:r>
              <w:rPr>
                <w:sz w:val="18"/>
              </w:rPr>
              <w:t>lack</w:t>
            </w:r>
            <w:r>
              <w:rPr>
                <w:spacing w:val="-8"/>
                <w:sz w:val="18"/>
              </w:rPr>
              <w:t> </w:t>
            </w:r>
            <w:r>
              <w:rPr>
                <w:sz w:val="18"/>
              </w:rPr>
              <w:t>of</w:t>
            </w:r>
            <w:r>
              <w:rPr>
                <w:spacing w:val="-9"/>
                <w:sz w:val="18"/>
              </w:rPr>
              <w:t> </w:t>
            </w:r>
            <w:r>
              <w:rPr>
                <w:sz w:val="18"/>
              </w:rPr>
              <w:t>history</w:t>
            </w:r>
            <w:r>
              <w:rPr>
                <w:spacing w:val="-11"/>
                <w:sz w:val="18"/>
              </w:rPr>
              <w:t> </w:t>
            </w:r>
            <w:r>
              <w:rPr>
                <w:sz w:val="18"/>
              </w:rPr>
              <w:t>of</w:t>
            </w:r>
            <w:r>
              <w:rPr>
                <w:spacing w:val="-7"/>
                <w:sz w:val="18"/>
              </w:rPr>
              <w:t> </w:t>
            </w:r>
            <w:r>
              <w:rPr>
                <w:sz w:val="18"/>
              </w:rPr>
              <w:t>working </w:t>
            </w:r>
            <w:r>
              <w:rPr>
                <w:spacing w:val="-2"/>
                <w:sz w:val="18"/>
              </w:rPr>
              <w:t>relationship.</w:t>
            </w:r>
          </w:p>
        </w:tc>
        <w:tc>
          <w:tcPr>
            <w:tcW w:w="3741" w:type="dxa"/>
            <w:tcBorders>
              <w:top w:val="single" w:sz="4" w:space="0" w:color="000000"/>
              <w:bottom w:val="single" w:sz="4" w:space="0" w:color="000000"/>
            </w:tcBorders>
          </w:tcPr>
          <w:p>
            <w:pPr>
              <w:pStyle w:val="TableParagraph"/>
              <w:ind w:left="131" w:right="141"/>
              <w:rPr>
                <w:sz w:val="18"/>
              </w:rPr>
            </w:pPr>
            <w:r>
              <w:rPr>
                <w:sz w:val="18"/>
              </w:rPr>
              <w:t>Collaboration on short-term, intermediate projects,</w:t>
            </w:r>
            <w:r>
              <w:rPr>
                <w:spacing w:val="-8"/>
                <w:sz w:val="18"/>
              </w:rPr>
              <w:t> </w:t>
            </w:r>
            <w:r>
              <w:rPr>
                <w:i/>
                <w:sz w:val="18"/>
              </w:rPr>
              <w:t>e.g</w:t>
            </w:r>
            <w:r>
              <w:rPr>
                <w:sz w:val="18"/>
              </w:rPr>
              <w:t>.,</w:t>
            </w:r>
            <w:r>
              <w:rPr>
                <w:spacing w:val="-10"/>
                <w:sz w:val="18"/>
              </w:rPr>
              <w:t> </w:t>
            </w:r>
            <w:r>
              <w:rPr>
                <w:sz w:val="18"/>
              </w:rPr>
              <w:t>PATH</w:t>
            </w:r>
            <w:r>
              <w:rPr>
                <w:spacing w:val="-8"/>
                <w:sz w:val="18"/>
              </w:rPr>
              <w:t> </w:t>
            </w:r>
            <w:r>
              <w:rPr>
                <w:sz w:val="18"/>
              </w:rPr>
              <w:t>partnership</w:t>
            </w:r>
            <w:r>
              <w:rPr>
                <w:spacing w:val="-9"/>
                <w:sz w:val="18"/>
              </w:rPr>
              <w:t> </w:t>
            </w:r>
            <w:r>
              <w:rPr>
                <w:sz w:val="18"/>
              </w:rPr>
              <w:t>retreat,</w:t>
            </w:r>
            <w:r>
              <w:rPr>
                <w:spacing w:val="-8"/>
                <w:sz w:val="18"/>
              </w:rPr>
              <w:t> </w:t>
            </w:r>
            <w:r>
              <w:rPr>
                <w:sz w:val="18"/>
              </w:rPr>
              <w:t>local presentations, co-mentoring of students in Pacific Islander Health Careers Pipeline program</w:t>
            </w:r>
            <w:r>
              <w:rPr>
                <w:spacing w:val="-2"/>
                <w:sz w:val="18"/>
              </w:rPr>
              <w:t> </w:t>
            </w:r>
            <w:r>
              <w:rPr>
                <w:sz w:val="18"/>
              </w:rPr>
              <w:t>(Pipeline).</w:t>
            </w:r>
          </w:p>
        </w:tc>
      </w:tr>
      <w:tr>
        <w:trPr>
          <w:trHeight w:val="3012" w:hRule="atLeast"/>
        </w:trPr>
        <w:tc>
          <w:tcPr>
            <w:tcW w:w="2454" w:type="dxa"/>
            <w:tcBorders>
              <w:top w:val="single" w:sz="4" w:space="0" w:color="000000"/>
              <w:bottom w:val="single" w:sz="4" w:space="0" w:color="000000"/>
            </w:tcBorders>
          </w:tcPr>
          <w:p>
            <w:pPr>
              <w:pStyle w:val="TableParagraph"/>
              <w:ind w:right="180"/>
              <w:rPr>
                <w:sz w:val="18"/>
              </w:rPr>
            </w:pPr>
            <w:r>
              <w:rPr>
                <w:sz w:val="18"/>
              </w:rPr>
              <w:t>Open and clear </w:t>
            </w:r>
            <w:r>
              <w:rPr>
                <w:spacing w:val="-2"/>
                <w:sz w:val="18"/>
              </w:rPr>
              <w:t>communications.</w:t>
            </w:r>
          </w:p>
        </w:tc>
        <w:tc>
          <w:tcPr>
            <w:tcW w:w="3022" w:type="dxa"/>
            <w:tcBorders>
              <w:top w:val="single" w:sz="4" w:space="0" w:color="000000"/>
              <w:bottom w:val="single" w:sz="4" w:space="0" w:color="000000"/>
            </w:tcBorders>
          </w:tcPr>
          <w:p>
            <w:pPr>
              <w:pStyle w:val="TableParagraph"/>
              <w:ind w:left="116"/>
              <w:rPr>
                <w:sz w:val="18"/>
              </w:rPr>
            </w:pPr>
            <w:r>
              <w:rPr>
                <w:sz w:val="18"/>
              </w:rPr>
              <w:t>Lack</w:t>
            </w:r>
            <w:r>
              <w:rPr>
                <w:spacing w:val="-10"/>
                <w:sz w:val="18"/>
              </w:rPr>
              <w:t> </w:t>
            </w:r>
            <w:r>
              <w:rPr>
                <w:sz w:val="18"/>
              </w:rPr>
              <w:t>of</w:t>
            </w:r>
            <w:r>
              <w:rPr>
                <w:spacing w:val="-10"/>
                <w:sz w:val="18"/>
              </w:rPr>
              <w:t> </w:t>
            </w:r>
            <w:r>
              <w:rPr>
                <w:sz w:val="18"/>
              </w:rPr>
              <w:t>shared</w:t>
            </w:r>
            <w:r>
              <w:rPr>
                <w:spacing w:val="-8"/>
                <w:sz w:val="18"/>
              </w:rPr>
              <w:t> </w:t>
            </w:r>
            <w:r>
              <w:rPr>
                <w:sz w:val="18"/>
              </w:rPr>
              <w:t>definitions</w:t>
            </w:r>
            <w:r>
              <w:rPr>
                <w:spacing w:val="-11"/>
                <w:sz w:val="18"/>
              </w:rPr>
              <w:t> </w:t>
            </w:r>
            <w:r>
              <w:rPr>
                <w:sz w:val="18"/>
              </w:rPr>
              <w:t>of </w:t>
            </w:r>
            <w:r>
              <w:rPr>
                <w:spacing w:val="-2"/>
                <w:sz w:val="18"/>
              </w:rPr>
              <w:t>terminology.</w:t>
            </w:r>
          </w:p>
          <w:p>
            <w:pPr>
              <w:pStyle w:val="TableParagraph"/>
              <w:spacing w:before="200"/>
              <w:ind w:left="116"/>
              <w:rPr>
                <w:sz w:val="18"/>
              </w:rPr>
            </w:pPr>
            <w:r>
              <w:rPr>
                <w:sz w:val="18"/>
              </w:rPr>
              <w:t>Transition in community agency leadership</w:t>
            </w:r>
            <w:r>
              <w:rPr>
                <w:spacing w:val="-10"/>
                <w:sz w:val="18"/>
              </w:rPr>
              <w:t> </w:t>
            </w:r>
            <w:r>
              <w:rPr>
                <w:sz w:val="18"/>
              </w:rPr>
              <w:t>resulted</w:t>
            </w:r>
            <w:r>
              <w:rPr>
                <w:spacing w:val="-10"/>
                <w:sz w:val="18"/>
              </w:rPr>
              <w:t> </w:t>
            </w:r>
            <w:r>
              <w:rPr>
                <w:sz w:val="18"/>
              </w:rPr>
              <w:t>in</w:t>
            </w:r>
            <w:r>
              <w:rPr>
                <w:spacing w:val="-11"/>
                <w:sz w:val="18"/>
              </w:rPr>
              <w:t> </w:t>
            </w:r>
            <w:r>
              <w:rPr>
                <w:sz w:val="18"/>
              </w:rPr>
              <w:t>evolving</w:t>
            </w:r>
            <w:r>
              <w:rPr>
                <w:spacing w:val="-11"/>
                <w:sz w:val="18"/>
              </w:rPr>
              <w:t> </w:t>
            </w:r>
            <w:r>
              <w:rPr>
                <w:sz w:val="18"/>
              </w:rPr>
              <w:t>roles.</w:t>
            </w:r>
          </w:p>
          <w:p>
            <w:pPr>
              <w:pStyle w:val="TableParagraph"/>
              <w:ind w:left="0"/>
              <w:rPr>
                <w:sz w:val="18"/>
              </w:rPr>
            </w:pPr>
          </w:p>
          <w:p>
            <w:pPr>
              <w:pStyle w:val="TableParagraph"/>
              <w:spacing w:before="1"/>
              <w:ind w:left="116"/>
              <w:rPr>
                <w:sz w:val="18"/>
              </w:rPr>
            </w:pPr>
            <w:r>
              <w:rPr>
                <w:sz w:val="18"/>
              </w:rPr>
              <w:t>Assumptions</w:t>
            </w:r>
            <w:r>
              <w:rPr>
                <w:spacing w:val="-10"/>
                <w:sz w:val="18"/>
              </w:rPr>
              <w:t> </w:t>
            </w:r>
            <w:r>
              <w:rPr>
                <w:sz w:val="18"/>
              </w:rPr>
              <w:t>about</w:t>
            </w:r>
            <w:r>
              <w:rPr>
                <w:spacing w:val="-9"/>
                <w:sz w:val="18"/>
              </w:rPr>
              <w:t> </w:t>
            </w:r>
            <w:r>
              <w:rPr>
                <w:sz w:val="18"/>
              </w:rPr>
              <w:t>“best”</w:t>
            </w:r>
            <w:r>
              <w:rPr>
                <w:spacing w:val="-10"/>
                <w:sz w:val="18"/>
              </w:rPr>
              <w:t> </w:t>
            </w:r>
            <w:r>
              <w:rPr>
                <w:sz w:val="18"/>
              </w:rPr>
              <w:t>modes</w:t>
            </w:r>
            <w:r>
              <w:rPr>
                <w:spacing w:val="-10"/>
                <w:sz w:val="18"/>
              </w:rPr>
              <w:t> </w:t>
            </w:r>
            <w:r>
              <w:rPr>
                <w:sz w:val="18"/>
              </w:rPr>
              <w:t>of </w:t>
            </w:r>
            <w:r>
              <w:rPr>
                <w:spacing w:val="-2"/>
                <w:sz w:val="18"/>
              </w:rPr>
              <w:t>communication.</w:t>
            </w:r>
          </w:p>
        </w:tc>
        <w:tc>
          <w:tcPr>
            <w:tcW w:w="3741" w:type="dxa"/>
            <w:tcBorders>
              <w:top w:val="single" w:sz="4" w:space="0" w:color="000000"/>
              <w:bottom w:val="single" w:sz="4" w:space="0" w:color="000000"/>
            </w:tcBorders>
          </w:tcPr>
          <w:p>
            <w:pPr>
              <w:pStyle w:val="TableParagraph"/>
              <w:ind w:left="131" w:right="141"/>
              <w:rPr>
                <w:sz w:val="18"/>
              </w:rPr>
            </w:pPr>
            <w:r>
              <w:rPr>
                <w:sz w:val="18"/>
              </w:rPr>
              <w:t>Multiple</w:t>
            </w:r>
            <w:r>
              <w:rPr>
                <w:spacing w:val="-9"/>
                <w:sz w:val="18"/>
              </w:rPr>
              <w:t> </w:t>
            </w:r>
            <w:r>
              <w:rPr>
                <w:sz w:val="18"/>
              </w:rPr>
              <w:t>communication</w:t>
            </w:r>
            <w:r>
              <w:rPr>
                <w:spacing w:val="-10"/>
                <w:sz w:val="18"/>
              </w:rPr>
              <w:t> </w:t>
            </w:r>
            <w:r>
              <w:rPr>
                <w:sz w:val="18"/>
              </w:rPr>
              <w:t>methods,</w:t>
            </w:r>
            <w:r>
              <w:rPr>
                <w:spacing w:val="-6"/>
                <w:sz w:val="18"/>
              </w:rPr>
              <w:t> </w:t>
            </w:r>
            <w:r>
              <w:rPr>
                <w:i/>
                <w:sz w:val="18"/>
              </w:rPr>
              <w:t>e.g</w:t>
            </w:r>
            <w:r>
              <w:rPr>
                <w:sz w:val="18"/>
              </w:rPr>
              <w:t>.,</w:t>
            </w:r>
            <w:r>
              <w:rPr>
                <w:spacing w:val="-11"/>
                <w:sz w:val="18"/>
              </w:rPr>
              <w:t> </w:t>
            </w:r>
            <w:r>
              <w:rPr>
                <w:sz w:val="18"/>
              </w:rPr>
              <w:t>follow up verbal discussions with written documentation; follow up to written</w:t>
            </w:r>
          </w:p>
          <w:p>
            <w:pPr>
              <w:pStyle w:val="TableParagraph"/>
              <w:ind w:left="131" w:right="141"/>
              <w:rPr>
                <w:sz w:val="18"/>
              </w:rPr>
            </w:pPr>
            <w:r>
              <w:rPr>
                <w:sz w:val="18"/>
              </w:rPr>
              <w:t>communications</w:t>
            </w:r>
            <w:r>
              <w:rPr>
                <w:spacing w:val="-11"/>
                <w:sz w:val="18"/>
              </w:rPr>
              <w:t> </w:t>
            </w:r>
            <w:r>
              <w:rPr>
                <w:sz w:val="18"/>
              </w:rPr>
              <w:t>with</w:t>
            </w:r>
            <w:r>
              <w:rPr>
                <w:spacing w:val="-9"/>
                <w:sz w:val="18"/>
              </w:rPr>
              <w:t> </w:t>
            </w:r>
            <w:r>
              <w:rPr>
                <w:sz w:val="18"/>
              </w:rPr>
              <w:t>verbal</w:t>
            </w:r>
            <w:r>
              <w:rPr>
                <w:spacing w:val="-10"/>
                <w:sz w:val="18"/>
              </w:rPr>
              <w:t> </w:t>
            </w:r>
            <w:r>
              <w:rPr>
                <w:sz w:val="18"/>
              </w:rPr>
              <w:t>“check-ins”</w:t>
            </w:r>
            <w:r>
              <w:rPr>
                <w:spacing w:val="-11"/>
                <w:sz w:val="18"/>
              </w:rPr>
              <w:t> </w:t>
            </w:r>
            <w:r>
              <w:rPr>
                <w:sz w:val="18"/>
              </w:rPr>
              <w:t>to ensure shared understanding.</w:t>
            </w:r>
          </w:p>
          <w:p>
            <w:pPr>
              <w:pStyle w:val="TableParagraph"/>
              <w:ind w:left="131"/>
              <w:rPr>
                <w:sz w:val="18"/>
              </w:rPr>
            </w:pPr>
            <w:r>
              <w:rPr>
                <w:sz w:val="18"/>
              </w:rPr>
              <w:t>Involving</w:t>
            </w:r>
            <w:r>
              <w:rPr>
                <w:spacing w:val="-9"/>
                <w:sz w:val="18"/>
              </w:rPr>
              <w:t> </w:t>
            </w:r>
            <w:r>
              <w:rPr>
                <w:sz w:val="18"/>
              </w:rPr>
              <w:t>all</w:t>
            </w:r>
            <w:r>
              <w:rPr>
                <w:spacing w:val="-8"/>
                <w:sz w:val="18"/>
              </w:rPr>
              <w:t> </w:t>
            </w:r>
            <w:r>
              <w:rPr>
                <w:sz w:val="18"/>
              </w:rPr>
              <w:t>partners</w:t>
            </w:r>
            <w:r>
              <w:rPr>
                <w:spacing w:val="-8"/>
                <w:sz w:val="18"/>
              </w:rPr>
              <w:t> </w:t>
            </w:r>
            <w:r>
              <w:rPr>
                <w:sz w:val="18"/>
              </w:rPr>
              <w:t>in</w:t>
            </w:r>
            <w:r>
              <w:rPr>
                <w:spacing w:val="-8"/>
                <w:sz w:val="18"/>
              </w:rPr>
              <w:t> </w:t>
            </w:r>
            <w:r>
              <w:rPr>
                <w:sz w:val="18"/>
              </w:rPr>
              <w:t>communications</w:t>
            </w:r>
            <w:r>
              <w:rPr>
                <w:spacing w:val="-8"/>
                <w:sz w:val="18"/>
              </w:rPr>
              <w:t> </w:t>
            </w:r>
            <w:r>
              <w:rPr>
                <w:sz w:val="18"/>
              </w:rPr>
              <w:t>while respecting evolving leadership roles.</w:t>
            </w:r>
          </w:p>
          <w:p>
            <w:pPr>
              <w:pStyle w:val="TableParagraph"/>
              <w:ind w:left="131" w:right="141"/>
              <w:rPr>
                <w:sz w:val="18"/>
              </w:rPr>
            </w:pPr>
            <w:r>
              <w:rPr>
                <w:sz w:val="18"/>
              </w:rPr>
              <w:t>Learning</w:t>
            </w:r>
            <w:r>
              <w:rPr>
                <w:spacing w:val="-9"/>
                <w:sz w:val="18"/>
              </w:rPr>
              <w:t> </w:t>
            </w:r>
            <w:r>
              <w:rPr>
                <w:sz w:val="18"/>
              </w:rPr>
              <w:t>each</w:t>
            </w:r>
            <w:r>
              <w:rPr>
                <w:spacing w:val="-7"/>
                <w:sz w:val="18"/>
              </w:rPr>
              <w:t> </w:t>
            </w:r>
            <w:r>
              <w:rPr>
                <w:sz w:val="18"/>
              </w:rPr>
              <w:t>partners’</w:t>
            </w:r>
            <w:r>
              <w:rPr>
                <w:spacing w:val="-8"/>
                <w:sz w:val="18"/>
              </w:rPr>
              <w:t> </w:t>
            </w:r>
            <w:r>
              <w:rPr>
                <w:sz w:val="18"/>
              </w:rPr>
              <w:t>preferred</w:t>
            </w:r>
            <w:r>
              <w:rPr>
                <w:spacing w:val="-6"/>
                <w:sz w:val="18"/>
              </w:rPr>
              <w:t> </w:t>
            </w:r>
            <w:r>
              <w:rPr>
                <w:sz w:val="18"/>
              </w:rPr>
              <w:t>modes</w:t>
            </w:r>
            <w:r>
              <w:rPr>
                <w:spacing w:val="-9"/>
                <w:sz w:val="18"/>
              </w:rPr>
              <w:t> </w:t>
            </w:r>
            <w:r>
              <w:rPr>
                <w:sz w:val="18"/>
              </w:rPr>
              <w:t>and styles of communications, </w:t>
            </w:r>
            <w:r>
              <w:rPr>
                <w:i/>
                <w:sz w:val="18"/>
              </w:rPr>
              <w:t>e.g.</w:t>
            </w:r>
            <w:r>
              <w:rPr>
                <w:sz w:val="18"/>
              </w:rPr>
              <w:t>, email, text, online chat, mobile or landline telephone.</w:t>
            </w:r>
          </w:p>
          <w:p>
            <w:pPr>
              <w:pStyle w:val="TableParagraph"/>
              <w:ind w:left="131" w:right="395"/>
              <w:rPr>
                <w:sz w:val="18"/>
              </w:rPr>
            </w:pPr>
            <w:r>
              <w:rPr>
                <w:sz w:val="18"/>
              </w:rPr>
              <w:t>Preferences varied by age, convenience, expense</w:t>
            </w:r>
            <w:r>
              <w:rPr>
                <w:spacing w:val="-7"/>
                <w:sz w:val="18"/>
              </w:rPr>
              <w:t> </w:t>
            </w:r>
            <w:r>
              <w:rPr>
                <w:sz w:val="18"/>
              </w:rPr>
              <w:t>(</w:t>
            </w:r>
            <w:r>
              <w:rPr>
                <w:i/>
                <w:sz w:val="18"/>
              </w:rPr>
              <w:t>e.g</w:t>
            </w:r>
            <w:r>
              <w:rPr>
                <w:sz w:val="18"/>
              </w:rPr>
              <w:t>.,</w:t>
            </w:r>
            <w:r>
              <w:rPr>
                <w:spacing w:val="-6"/>
                <w:sz w:val="18"/>
              </w:rPr>
              <w:t> </w:t>
            </w:r>
            <w:r>
              <w:rPr>
                <w:sz w:val="18"/>
              </w:rPr>
              <w:t>not</w:t>
            </w:r>
            <w:r>
              <w:rPr>
                <w:spacing w:val="-6"/>
                <w:sz w:val="18"/>
              </w:rPr>
              <w:t> </w:t>
            </w:r>
            <w:r>
              <w:rPr>
                <w:sz w:val="18"/>
              </w:rPr>
              <w:t>all</w:t>
            </w:r>
            <w:r>
              <w:rPr>
                <w:spacing w:val="-8"/>
                <w:sz w:val="18"/>
              </w:rPr>
              <w:t> </w:t>
            </w:r>
            <w:r>
              <w:rPr>
                <w:sz w:val="18"/>
              </w:rPr>
              <w:t>partners</w:t>
            </w:r>
            <w:r>
              <w:rPr>
                <w:spacing w:val="-9"/>
                <w:sz w:val="18"/>
              </w:rPr>
              <w:t> </w:t>
            </w:r>
            <w:r>
              <w:rPr>
                <w:sz w:val="18"/>
              </w:rPr>
              <w:t>have</w:t>
            </w:r>
            <w:r>
              <w:rPr>
                <w:spacing w:val="-7"/>
                <w:sz w:val="18"/>
              </w:rPr>
              <w:t> </w:t>
            </w:r>
            <w:r>
              <w:rPr>
                <w:sz w:val="18"/>
              </w:rPr>
              <w:t>primarily office-based jobs,</w:t>
            </w:r>
            <w:r>
              <w:rPr>
                <w:spacing w:val="-1"/>
                <w:sz w:val="18"/>
              </w:rPr>
              <w:t> </w:t>
            </w:r>
            <w:r>
              <w:rPr>
                <w:sz w:val="18"/>
              </w:rPr>
              <w:t>internet</w:t>
            </w:r>
            <w:r>
              <w:rPr>
                <w:spacing w:val="-1"/>
                <w:sz w:val="18"/>
              </w:rPr>
              <w:t> </w:t>
            </w:r>
            <w:r>
              <w:rPr>
                <w:sz w:val="18"/>
              </w:rPr>
              <w:t>access</w:t>
            </w:r>
            <w:r>
              <w:rPr>
                <w:spacing w:val="-2"/>
                <w:sz w:val="18"/>
              </w:rPr>
              <w:t> </w:t>
            </w:r>
            <w:r>
              <w:rPr>
                <w:sz w:val="18"/>
              </w:rPr>
              <w:t>in field,</w:t>
            </w:r>
            <w:r>
              <w:rPr>
                <w:spacing w:val="-1"/>
                <w:sz w:val="18"/>
              </w:rPr>
              <w:t> </w:t>
            </w:r>
            <w:r>
              <w:rPr>
                <w:sz w:val="18"/>
              </w:rPr>
              <w:t>or affordable text messaging).</w:t>
            </w:r>
          </w:p>
        </w:tc>
      </w:tr>
      <w:tr>
        <w:trPr>
          <w:trHeight w:val="1293" w:hRule="atLeast"/>
        </w:trPr>
        <w:tc>
          <w:tcPr>
            <w:tcW w:w="2454" w:type="dxa"/>
            <w:tcBorders>
              <w:top w:val="single" w:sz="4" w:space="0" w:color="000000"/>
              <w:bottom w:val="single" w:sz="4" w:space="0" w:color="000000"/>
            </w:tcBorders>
          </w:tcPr>
          <w:p>
            <w:pPr>
              <w:pStyle w:val="TableParagraph"/>
              <w:rPr>
                <w:sz w:val="18"/>
              </w:rPr>
            </w:pPr>
            <w:r>
              <w:rPr>
                <w:sz w:val="18"/>
              </w:rPr>
              <w:t>Equally</w:t>
            </w:r>
            <w:r>
              <w:rPr>
                <w:spacing w:val="-12"/>
                <w:sz w:val="18"/>
              </w:rPr>
              <w:t> </w:t>
            </w:r>
            <w:r>
              <w:rPr>
                <w:sz w:val="18"/>
              </w:rPr>
              <w:t>shared</w:t>
            </w:r>
            <w:r>
              <w:rPr>
                <w:spacing w:val="-11"/>
                <w:sz w:val="18"/>
              </w:rPr>
              <w:t> </w:t>
            </w:r>
            <w:r>
              <w:rPr>
                <w:sz w:val="18"/>
              </w:rPr>
              <w:t>involvement</w:t>
            </w:r>
            <w:r>
              <w:rPr>
                <w:spacing w:val="-11"/>
                <w:sz w:val="18"/>
              </w:rPr>
              <w:t> </w:t>
            </w:r>
            <w:r>
              <w:rPr>
                <w:sz w:val="18"/>
              </w:rPr>
              <w:t>in development of research protocol, and recruitment, consent, and data collection </w:t>
            </w:r>
            <w:r>
              <w:rPr>
                <w:spacing w:val="-2"/>
                <w:sz w:val="18"/>
              </w:rPr>
              <w:t>materials.</w:t>
            </w:r>
          </w:p>
        </w:tc>
        <w:tc>
          <w:tcPr>
            <w:tcW w:w="3022" w:type="dxa"/>
            <w:tcBorders>
              <w:top w:val="single" w:sz="4" w:space="0" w:color="000000"/>
              <w:bottom w:val="single" w:sz="4" w:space="0" w:color="000000"/>
            </w:tcBorders>
          </w:tcPr>
          <w:p>
            <w:pPr>
              <w:pStyle w:val="TableParagraph"/>
              <w:ind w:left="116"/>
              <w:rPr>
                <w:sz w:val="18"/>
              </w:rPr>
            </w:pPr>
            <w:r>
              <w:rPr>
                <w:sz w:val="18"/>
              </w:rPr>
              <w:t>Time,</w:t>
            </w:r>
            <w:r>
              <w:rPr>
                <w:spacing w:val="-6"/>
                <w:sz w:val="18"/>
              </w:rPr>
              <w:t> </w:t>
            </w:r>
            <w:r>
              <w:rPr>
                <w:sz w:val="18"/>
              </w:rPr>
              <w:t>cutbacks</w:t>
            </w:r>
            <w:r>
              <w:rPr>
                <w:spacing w:val="-6"/>
                <w:sz w:val="18"/>
              </w:rPr>
              <w:t> </w:t>
            </w:r>
            <w:r>
              <w:rPr>
                <w:sz w:val="18"/>
              </w:rPr>
              <w:t>in</w:t>
            </w:r>
            <w:r>
              <w:rPr>
                <w:spacing w:val="-5"/>
                <w:sz w:val="18"/>
              </w:rPr>
              <w:t> </w:t>
            </w:r>
            <w:r>
              <w:rPr>
                <w:sz w:val="18"/>
              </w:rPr>
              <w:t>agency</w:t>
            </w:r>
            <w:r>
              <w:rPr>
                <w:spacing w:val="-10"/>
                <w:sz w:val="18"/>
              </w:rPr>
              <w:t> </w:t>
            </w:r>
            <w:r>
              <w:rPr>
                <w:sz w:val="18"/>
              </w:rPr>
              <w:t>hours</w:t>
            </w:r>
            <w:r>
              <w:rPr>
                <w:spacing w:val="-6"/>
                <w:sz w:val="18"/>
              </w:rPr>
              <w:t> </w:t>
            </w:r>
            <w:r>
              <w:rPr>
                <w:sz w:val="18"/>
              </w:rPr>
              <w:t>due</w:t>
            </w:r>
            <w:r>
              <w:rPr>
                <w:spacing w:val="-7"/>
                <w:sz w:val="18"/>
              </w:rPr>
              <w:t> </w:t>
            </w:r>
            <w:r>
              <w:rPr>
                <w:sz w:val="18"/>
              </w:rPr>
              <w:t>to economic downturn, communication </w:t>
            </w:r>
            <w:r>
              <w:rPr>
                <w:spacing w:val="-2"/>
                <w:sz w:val="18"/>
              </w:rPr>
              <w:t>challenges.</w:t>
            </w:r>
          </w:p>
        </w:tc>
        <w:tc>
          <w:tcPr>
            <w:tcW w:w="3741" w:type="dxa"/>
            <w:tcBorders>
              <w:top w:val="single" w:sz="4" w:space="0" w:color="000000"/>
              <w:bottom w:val="single" w:sz="4" w:space="0" w:color="000000"/>
            </w:tcBorders>
          </w:tcPr>
          <w:p>
            <w:pPr>
              <w:pStyle w:val="TableParagraph"/>
              <w:ind w:left="131" w:right="141"/>
              <w:rPr>
                <w:sz w:val="18"/>
              </w:rPr>
            </w:pPr>
            <w:r>
              <w:rPr>
                <w:sz w:val="18"/>
              </w:rPr>
              <w:t>Monthly face-to-face meetings during office hours</w:t>
            </w:r>
            <w:r>
              <w:rPr>
                <w:spacing w:val="-6"/>
                <w:sz w:val="18"/>
              </w:rPr>
              <w:t> </w:t>
            </w:r>
            <w:r>
              <w:rPr>
                <w:sz w:val="18"/>
              </w:rPr>
              <w:t>when</w:t>
            </w:r>
            <w:r>
              <w:rPr>
                <w:spacing w:val="-5"/>
                <w:sz w:val="18"/>
              </w:rPr>
              <w:t> </w:t>
            </w:r>
            <w:r>
              <w:rPr>
                <w:sz w:val="18"/>
              </w:rPr>
              <w:t>staff</w:t>
            </w:r>
            <w:r>
              <w:rPr>
                <w:spacing w:val="-8"/>
                <w:sz w:val="18"/>
              </w:rPr>
              <w:t> </w:t>
            </w:r>
            <w:r>
              <w:rPr>
                <w:sz w:val="18"/>
              </w:rPr>
              <w:t>could</w:t>
            </w:r>
            <w:r>
              <w:rPr>
                <w:spacing w:val="-5"/>
                <w:sz w:val="18"/>
              </w:rPr>
              <w:t> </w:t>
            </w:r>
            <w:r>
              <w:rPr>
                <w:sz w:val="18"/>
              </w:rPr>
              <w:t>be</w:t>
            </w:r>
            <w:r>
              <w:rPr>
                <w:spacing w:val="-9"/>
                <w:sz w:val="18"/>
              </w:rPr>
              <w:t> </w:t>
            </w:r>
            <w:r>
              <w:rPr>
                <w:sz w:val="18"/>
              </w:rPr>
              <w:t>paid.</w:t>
            </w:r>
            <w:r>
              <w:rPr>
                <w:spacing w:val="-6"/>
                <w:sz w:val="18"/>
              </w:rPr>
              <w:t> </w:t>
            </w:r>
            <w:r>
              <w:rPr>
                <w:sz w:val="18"/>
              </w:rPr>
              <w:t>Commitment</w:t>
            </w:r>
            <w:r>
              <w:rPr>
                <w:spacing w:val="-6"/>
                <w:sz w:val="18"/>
              </w:rPr>
              <w:t> </w:t>
            </w:r>
            <w:r>
              <w:rPr>
                <w:sz w:val="18"/>
              </w:rPr>
              <w:t>to iterative process with input, questions, and revisions from multiple stakeholders.</w:t>
            </w:r>
          </w:p>
          <w:p>
            <w:pPr>
              <w:pStyle w:val="TableParagraph"/>
              <w:ind w:left="131" w:right="141"/>
              <w:rPr>
                <w:sz w:val="18"/>
              </w:rPr>
            </w:pPr>
            <w:r>
              <w:rPr>
                <w:sz w:val="18"/>
              </w:rPr>
              <w:t>Willingness</w:t>
            </w:r>
            <w:r>
              <w:rPr>
                <w:spacing w:val="-10"/>
                <w:sz w:val="18"/>
              </w:rPr>
              <w:t> </w:t>
            </w:r>
            <w:r>
              <w:rPr>
                <w:sz w:val="18"/>
              </w:rPr>
              <w:t>to</w:t>
            </w:r>
            <w:r>
              <w:rPr>
                <w:spacing w:val="-8"/>
                <w:sz w:val="18"/>
              </w:rPr>
              <w:t> </w:t>
            </w:r>
            <w:r>
              <w:rPr>
                <w:sz w:val="18"/>
              </w:rPr>
              <w:t>question</w:t>
            </w:r>
            <w:r>
              <w:rPr>
                <w:spacing w:val="-8"/>
                <w:sz w:val="18"/>
              </w:rPr>
              <w:t> </w:t>
            </w:r>
            <w:r>
              <w:rPr>
                <w:sz w:val="18"/>
              </w:rPr>
              <w:t>assumptions,</w:t>
            </w:r>
            <w:r>
              <w:rPr>
                <w:spacing w:val="-9"/>
                <w:sz w:val="18"/>
              </w:rPr>
              <w:t> </w:t>
            </w:r>
            <w:r>
              <w:rPr>
                <w:sz w:val="18"/>
              </w:rPr>
              <w:t>re- examine prior decisions.</w:t>
            </w:r>
          </w:p>
        </w:tc>
      </w:tr>
      <w:tr>
        <w:trPr>
          <w:trHeight w:val="1500" w:hRule="atLeast"/>
        </w:trPr>
        <w:tc>
          <w:tcPr>
            <w:tcW w:w="2454" w:type="dxa"/>
            <w:tcBorders>
              <w:top w:val="single" w:sz="4" w:space="0" w:color="000000"/>
              <w:bottom w:val="single" w:sz="4" w:space="0" w:color="000000"/>
            </w:tcBorders>
          </w:tcPr>
          <w:p>
            <w:pPr>
              <w:pStyle w:val="TableParagraph"/>
              <w:ind w:right="180"/>
              <w:rPr>
                <w:sz w:val="18"/>
              </w:rPr>
            </w:pPr>
            <w:r>
              <w:rPr>
                <w:sz w:val="18"/>
              </w:rPr>
              <w:t>Equally</w:t>
            </w:r>
            <w:r>
              <w:rPr>
                <w:spacing w:val="-12"/>
                <w:sz w:val="18"/>
              </w:rPr>
              <w:t> </w:t>
            </w:r>
            <w:r>
              <w:rPr>
                <w:sz w:val="18"/>
              </w:rPr>
              <w:t>shared</w:t>
            </w:r>
            <w:r>
              <w:rPr>
                <w:spacing w:val="-11"/>
                <w:sz w:val="18"/>
              </w:rPr>
              <w:t> </w:t>
            </w:r>
            <w:r>
              <w:rPr>
                <w:sz w:val="18"/>
              </w:rPr>
              <w:t>data </w:t>
            </w:r>
            <w:r>
              <w:rPr>
                <w:spacing w:val="-2"/>
                <w:sz w:val="18"/>
              </w:rPr>
              <w:t>ownership.</w:t>
            </w:r>
          </w:p>
        </w:tc>
        <w:tc>
          <w:tcPr>
            <w:tcW w:w="3022" w:type="dxa"/>
            <w:tcBorders>
              <w:top w:val="single" w:sz="4" w:space="0" w:color="000000"/>
              <w:bottom w:val="single" w:sz="4" w:space="0" w:color="000000"/>
            </w:tcBorders>
          </w:tcPr>
          <w:p>
            <w:pPr>
              <w:pStyle w:val="TableParagraph"/>
              <w:ind w:left="116"/>
              <w:rPr>
                <w:sz w:val="18"/>
              </w:rPr>
            </w:pPr>
            <w:r>
              <w:rPr>
                <w:sz w:val="18"/>
              </w:rPr>
              <w:t>IRB concerns regarding secure data storage</w:t>
            </w:r>
            <w:r>
              <w:rPr>
                <w:spacing w:val="-9"/>
                <w:sz w:val="18"/>
              </w:rPr>
              <w:t> </w:t>
            </w:r>
            <w:r>
              <w:rPr>
                <w:sz w:val="18"/>
              </w:rPr>
              <w:t>by</w:t>
            </w:r>
            <w:r>
              <w:rPr>
                <w:spacing w:val="-12"/>
                <w:sz w:val="18"/>
              </w:rPr>
              <w:t> </w:t>
            </w:r>
            <w:r>
              <w:rPr>
                <w:sz w:val="18"/>
              </w:rPr>
              <w:t>community</w:t>
            </w:r>
            <w:r>
              <w:rPr>
                <w:spacing w:val="-11"/>
                <w:sz w:val="18"/>
              </w:rPr>
              <w:t> </w:t>
            </w:r>
            <w:r>
              <w:rPr>
                <w:sz w:val="18"/>
              </w:rPr>
              <w:t>agency;</w:t>
            </w:r>
            <w:r>
              <w:rPr>
                <w:spacing w:val="-8"/>
                <w:sz w:val="18"/>
              </w:rPr>
              <w:t> </w:t>
            </w:r>
            <w:r>
              <w:rPr>
                <w:sz w:val="18"/>
              </w:rPr>
              <w:t>agency director</w:t>
            </w:r>
            <w:r>
              <w:rPr>
                <w:spacing w:val="-3"/>
                <w:sz w:val="18"/>
              </w:rPr>
              <w:t> </w:t>
            </w:r>
            <w:r>
              <w:rPr>
                <w:sz w:val="18"/>
              </w:rPr>
              <w:t>access</w:t>
            </w:r>
            <w:r>
              <w:rPr>
                <w:spacing w:val="-4"/>
                <w:sz w:val="18"/>
              </w:rPr>
              <w:t> </w:t>
            </w:r>
            <w:r>
              <w:rPr>
                <w:sz w:val="18"/>
              </w:rPr>
              <w:t>to</w:t>
            </w:r>
            <w:r>
              <w:rPr>
                <w:spacing w:val="-2"/>
                <w:sz w:val="18"/>
              </w:rPr>
              <w:t> </w:t>
            </w:r>
            <w:r>
              <w:rPr>
                <w:sz w:val="18"/>
              </w:rPr>
              <w:t>data</w:t>
            </w:r>
            <w:r>
              <w:rPr>
                <w:spacing w:val="-3"/>
                <w:sz w:val="18"/>
              </w:rPr>
              <w:t> </w:t>
            </w:r>
            <w:r>
              <w:rPr>
                <w:sz w:val="18"/>
              </w:rPr>
              <w:t>which</w:t>
            </w:r>
            <w:r>
              <w:rPr>
                <w:spacing w:val="-2"/>
                <w:sz w:val="18"/>
              </w:rPr>
              <w:t> </w:t>
            </w:r>
            <w:r>
              <w:rPr>
                <w:sz w:val="18"/>
              </w:rPr>
              <w:t>included staff interviews.</w:t>
            </w:r>
          </w:p>
          <w:p>
            <w:pPr>
              <w:pStyle w:val="TableParagraph"/>
              <w:ind w:left="116" w:right="76"/>
              <w:rPr>
                <w:sz w:val="18"/>
              </w:rPr>
            </w:pPr>
            <w:r>
              <w:rPr>
                <w:sz w:val="18"/>
              </w:rPr>
              <w:t>IRB</w:t>
            </w:r>
            <w:r>
              <w:rPr>
                <w:spacing w:val="-12"/>
                <w:sz w:val="18"/>
              </w:rPr>
              <w:t> </w:t>
            </w:r>
            <w:r>
              <w:rPr>
                <w:sz w:val="18"/>
              </w:rPr>
              <w:t>requirement</w:t>
            </w:r>
            <w:r>
              <w:rPr>
                <w:spacing w:val="-11"/>
                <w:sz w:val="18"/>
              </w:rPr>
              <w:t> </w:t>
            </w:r>
            <w:r>
              <w:rPr>
                <w:sz w:val="18"/>
              </w:rPr>
              <w:t>of</w:t>
            </w:r>
            <w:r>
              <w:rPr>
                <w:spacing w:val="-11"/>
                <w:sz w:val="18"/>
              </w:rPr>
              <w:t> </w:t>
            </w:r>
            <w:r>
              <w:rPr>
                <w:sz w:val="18"/>
              </w:rPr>
              <w:t>Federal-Wide Assurance (FWA) introduced confusion, delays.</w:t>
            </w:r>
          </w:p>
        </w:tc>
        <w:tc>
          <w:tcPr>
            <w:tcW w:w="3741" w:type="dxa"/>
            <w:tcBorders>
              <w:top w:val="single" w:sz="4" w:space="0" w:color="000000"/>
              <w:bottom w:val="single" w:sz="4" w:space="0" w:color="000000"/>
            </w:tcBorders>
          </w:tcPr>
          <w:p>
            <w:pPr>
              <w:pStyle w:val="TableParagraph"/>
              <w:ind w:left="131" w:right="123"/>
              <w:rPr>
                <w:sz w:val="18"/>
              </w:rPr>
            </w:pPr>
            <w:r>
              <w:rPr>
                <w:sz w:val="18"/>
              </w:rPr>
              <w:t>Mutually agreed-upon data security plans to include</w:t>
            </w:r>
            <w:r>
              <w:rPr>
                <w:spacing w:val="-7"/>
                <w:sz w:val="18"/>
              </w:rPr>
              <w:t> </w:t>
            </w:r>
            <w:r>
              <w:rPr>
                <w:sz w:val="18"/>
              </w:rPr>
              <w:t>de-identification</w:t>
            </w:r>
            <w:r>
              <w:rPr>
                <w:spacing w:val="-7"/>
                <w:sz w:val="18"/>
              </w:rPr>
              <w:t> </w:t>
            </w:r>
            <w:r>
              <w:rPr>
                <w:sz w:val="18"/>
              </w:rPr>
              <w:t>of</w:t>
            </w:r>
            <w:r>
              <w:rPr>
                <w:spacing w:val="-8"/>
                <w:sz w:val="18"/>
              </w:rPr>
              <w:t> </w:t>
            </w:r>
            <w:r>
              <w:rPr>
                <w:sz w:val="18"/>
              </w:rPr>
              <w:t>data,</w:t>
            </w:r>
            <w:r>
              <w:rPr>
                <w:spacing w:val="-6"/>
                <w:sz w:val="18"/>
              </w:rPr>
              <w:t> </w:t>
            </w:r>
            <w:r>
              <w:rPr>
                <w:sz w:val="18"/>
              </w:rPr>
              <w:t>data</w:t>
            </w:r>
            <w:r>
              <w:rPr>
                <w:spacing w:val="-6"/>
                <w:sz w:val="18"/>
              </w:rPr>
              <w:t> </w:t>
            </w:r>
            <w:r>
              <w:rPr>
                <w:sz w:val="18"/>
              </w:rPr>
              <w:t>storage</w:t>
            </w:r>
            <w:r>
              <w:rPr>
                <w:spacing w:val="-7"/>
                <w:sz w:val="18"/>
              </w:rPr>
              <w:t> </w:t>
            </w:r>
            <w:r>
              <w:rPr>
                <w:sz w:val="18"/>
              </w:rPr>
              <w:t>by third-party community partner agency.</w:t>
            </w:r>
          </w:p>
          <w:p>
            <w:pPr>
              <w:pStyle w:val="TableParagraph"/>
              <w:spacing w:before="204"/>
              <w:ind w:left="0"/>
              <w:rPr>
                <w:sz w:val="18"/>
              </w:rPr>
            </w:pPr>
          </w:p>
          <w:p>
            <w:pPr>
              <w:pStyle w:val="TableParagraph"/>
              <w:ind w:left="131" w:right="141"/>
              <w:rPr>
                <w:sz w:val="18"/>
              </w:rPr>
            </w:pPr>
            <w:r>
              <w:rPr>
                <w:sz w:val="18"/>
              </w:rPr>
              <w:t>All</w:t>
            </w:r>
            <w:r>
              <w:rPr>
                <w:spacing w:val="-7"/>
                <w:sz w:val="18"/>
              </w:rPr>
              <w:t> </w:t>
            </w:r>
            <w:r>
              <w:rPr>
                <w:sz w:val="18"/>
              </w:rPr>
              <w:t>partners</w:t>
            </w:r>
            <w:r>
              <w:rPr>
                <w:spacing w:val="-7"/>
                <w:sz w:val="18"/>
              </w:rPr>
              <w:t> </w:t>
            </w:r>
            <w:r>
              <w:rPr>
                <w:sz w:val="18"/>
              </w:rPr>
              <w:t>learned</w:t>
            </w:r>
            <w:r>
              <w:rPr>
                <w:spacing w:val="-6"/>
                <w:sz w:val="18"/>
              </w:rPr>
              <w:t> </w:t>
            </w:r>
            <w:r>
              <w:rPr>
                <w:sz w:val="18"/>
              </w:rPr>
              <w:t>process</w:t>
            </w:r>
            <w:r>
              <w:rPr>
                <w:spacing w:val="-8"/>
                <w:sz w:val="18"/>
              </w:rPr>
              <w:t> </w:t>
            </w:r>
            <w:r>
              <w:rPr>
                <w:sz w:val="18"/>
              </w:rPr>
              <w:t>for</w:t>
            </w:r>
            <w:r>
              <w:rPr>
                <w:spacing w:val="-7"/>
                <w:sz w:val="18"/>
              </w:rPr>
              <w:t> </w:t>
            </w:r>
            <w:r>
              <w:rPr>
                <w:sz w:val="18"/>
              </w:rPr>
              <w:t>and</w:t>
            </w:r>
            <w:r>
              <w:rPr>
                <w:spacing w:val="-8"/>
                <w:sz w:val="18"/>
              </w:rPr>
              <w:t> </w:t>
            </w:r>
            <w:r>
              <w:rPr>
                <w:sz w:val="18"/>
              </w:rPr>
              <w:t>obtained </w:t>
            </w:r>
            <w:r>
              <w:rPr>
                <w:spacing w:val="-4"/>
                <w:sz w:val="18"/>
              </w:rPr>
              <w:t>FWA</w:t>
            </w:r>
          </w:p>
        </w:tc>
      </w:tr>
      <w:tr>
        <w:trPr>
          <w:trHeight w:val="1715" w:hRule="atLeast"/>
        </w:trPr>
        <w:tc>
          <w:tcPr>
            <w:tcW w:w="2454" w:type="dxa"/>
            <w:tcBorders>
              <w:top w:val="single" w:sz="4" w:space="0" w:color="000000"/>
              <w:bottom w:val="single" w:sz="4" w:space="0" w:color="000000"/>
            </w:tcBorders>
          </w:tcPr>
          <w:p>
            <w:pPr>
              <w:pStyle w:val="TableParagraph"/>
              <w:ind w:right="115"/>
              <w:jc w:val="both"/>
              <w:rPr>
                <w:sz w:val="18"/>
              </w:rPr>
            </w:pPr>
            <w:r>
              <w:rPr>
                <w:sz w:val="18"/>
              </w:rPr>
              <w:t>Community</w:t>
            </w:r>
            <w:r>
              <w:rPr>
                <w:spacing w:val="-12"/>
                <w:sz w:val="18"/>
              </w:rPr>
              <w:t> </w:t>
            </w:r>
            <w:r>
              <w:rPr>
                <w:sz w:val="18"/>
              </w:rPr>
              <w:t>capacity-building, </w:t>
            </w:r>
            <w:r>
              <w:rPr>
                <w:i/>
                <w:sz w:val="18"/>
              </w:rPr>
              <w:t>e.g</w:t>
            </w:r>
            <w:r>
              <w:rPr>
                <w:sz w:val="18"/>
              </w:rPr>
              <w:t>.,</w:t>
            </w:r>
            <w:r>
              <w:rPr>
                <w:spacing w:val="-11"/>
                <w:sz w:val="18"/>
              </w:rPr>
              <w:t> </w:t>
            </w:r>
            <w:r>
              <w:rPr>
                <w:sz w:val="18"/>
              </w:rPr>
              <w:t>training</w:t>
            </w:r>
            <w:r>
              <w:rPr>
                <w:spacing w:val="-11"/>
                <w:sz w:val="18"/>
              </w:rPr>
              <w:t> </w:t>
            </w:r>
            <w:r>
              <w:rPr>
                <w:sz w:val="18"/>
              </w:rPr>
              <w:t>and</w:t>
            </w:r>
            <w:r>
              <w:rPr>
                <w:spacing w:val="-12"/>
                <w:sz w:val="18"/>
              </w:rPr>
              <w:t> </w:t>
            </w:r>
            <w:r>
              <w:rPr>
                <w:sz w:val="18"/>
              </w:rPr>
              <w:t>opportunities for</w:t>
            </w:r>
            <w:r>
              <w:rPr>
                <w:spacing w:val="-12"/>
                <w:sz w:val="18"/>
              </w:rPr>
              <w:t> </w:t>
            </w:r>
            <w:r>
              <w:rPr>
                <w:sz w:val="18"/>
              </w:rPr>
              <w:t>involvement</w:t>
            </w:r>
            <w:r>
              <w:rPr>
                <w:spacing w:val="-11"/>
                <w:sz w:val="18"/>
              </w:rPr>
              <w:t> </w:t>
            </w:r>
            <w:r>
              <w:rPr>
                <w:sz w:val="18"/>
              </w:rPr>
              <w:t>of</w:t>
            </w:r>
            <w:r>
              <w:rPr>
                <w:spacing w:val="-11"/>
                <w:sz w:val="18"/>
              </w:rPr>
              <w:t> </w:t>
            </w:r>
            <w:r>
              <w:rPr>
                <w:sz w:val="18"/>
              </w:rPr>
              <w:t>community members</w:t>
            </w:r>
            <w:r>
              <w:rPr>
                <w:spacing w:val="-4"/>
                <w:sz w:val="18"/>
              </w:rPr>
              <w:t> </w:t>
            </w:r>
            <w:r>
              <w:rPr>
                <w:sz w:val="18"/>
              </w:rPr>
              <w:t>in</w:t>
            </w:r>
            <w:r>
              <w:rPr>
                <w:spacing w:val="-3"/>
                <w:sz w:val="18"/>
              </w:rPr>
              <w:t> </w:t>
            </w:r>
            <w:r>
              <w:rPr>
                <w:sz w:val="18"/>
              </w:rPr>
              <w:t>research</w:t>
            </w:r>
            <w:r>
              <w:rPr>
                <w:spacing w:val="-3"/>
                <w:sz w:val="18"/>
              </w:rPr>
              <w:t> </w:t>
            </w:r>
            <w:r>
              <w:rPr>
                <w:sz w:val="18"/>
              </w:rPr>
              <w:t>activities throughout project.</w:t>
            </w:r>
          </w:p>
        </w:tc>
        <w:tc>
          <w:tcPr>
            <w:tcW w:w="3022" w:type="dxa"/>
            <w:tcBorders>
              <w:top w:val="single" w:sz="4" w:space="0" w:color="000000"/>
              <w:bottom w:val="single" w:sz="4" w:space="0" w:color="000000"/>
            </w:tcBorders>
          </w:tcPr>
          <w:p>
            <w:pPr>
              <w:pStyle w:val="TableParagraph"/>
              <w:ind w:left="116"/>
              <w:rPr>
                <w:sz w:val="18"/>
              </w:rPr>
            </w:pPr>
            <w:r>
              <w:rPr>
                <w:sz w:val="18"/>
              </w:rPr>
              <w:t>Relatively limited funds to include community</w:t>
            </w:r>
            <w:r>
              <w:rPr>
                <w:spacing w:val="-11"/>
                <w:sz w:val="18"/>
              </w:rPr>
              <w:t> </w:t>
            </w:r>
            <w:r>
              <w:rPr>
                <w:sz w:val="18"/>
              </w:rPr>
              <w:t>members</w:t>
            </w:r>
            <w:r>
              <w:rPr>
                <w:spacing w:val="-11"/>
                <w:sz w:val="18"/>
              </w:rPr>
              <w:t> </w:t>
            </w:r>
            <w:r>
              <w:rPr>
                <w:sz w:val="18"/>
              </w:rPr>
              <w:t>as</w:t>
            </w:r>
            <w:r>
              <w:rPr>
                <w:spacing w:val="-11"/>
                <w:sz w:val="18"/>
              </w:rPr>
              <w:t> </w:t>
            </w:r>
            <w:r>
              <w:rPr>
                <w:sz w:val="18"/>
              </w:rPr>
              <w:t>paid</w:t>
            </w:r>
            <w:r>
              <w:rPr>
                <w:spacing w:val="-10"/>
                <w:sz w:val="18"/>
              </w:rPr>
              <w:t> </w:t>
            </w:r>
            <w:r>
              <w:rPr>
                <w:sz w:val="18"/>
              </w:rPr>
              <w:t>project </w:t>
            </w:r>
            <w:r>
              <w:rPr>
                <w:spacing w:val="-2"/>
                <w:sz w:val="18"/>
              </w:rPr>
              <w:t>staff.</w:t>
            </w:r>
          </w:p>
          <w:p>
            <w:pPr>
              <w:pStyle w:val="TableParagraph"/>
              <w:spacing w:before="202"/>
              <w:ind w:left="116"/>
              <w:rPr>
                <w:sz w:val="18"/>
              </w:rPr>
            </w:pPr>
            <w:r>
              <w:rPr>
                <w:sz w:val="18"/>
              </w:rPr>
              <w:t>Competing priorities, distrust, uncertainty</w:t>
            </w:r>
            <w:r>
              <w:rPr>
                <w:spacing w:val="-12"/>
                <w:sz w:val="18"/>
              </w:rPr>
              <w:t> </w:t>
            </w:r>
            <w:r>
              <w:rPr>
                <w:sz w:val="18"/>
              </w:rPr>
              <w:t>regarding</w:t>
            </w:r>
            <w:r>
              <w:rPr>
                <w:spacing w:val="-11"/>
                <w:sz w:val="18"/>
              </w:rPr>
              <w:t> </w:t>
            </w:r>
            <w:r>
              <w:rPr>
                <w:sz w:val="18"/>
              </w:rPr>
              <w:t>value</w:t>
            </w:r>
            <w:r>
              <w:rPr>
                <w:spacing w:val="-11"/>
                <w:sz w:val="18"/>
              </w:rPr>
              <w:t> </w:t>
            </w:r>
            <w:r>
              <w:rPr>
                <w:sz w:val="18"/>
              </w:rPr>
              <w:t>among community members.</w:t>
            </w:r>
          </w:p>
        </w:tc>
        <w:tc>
          <w:tcPr>
            <w:tcW w:w="3741" w:type="dxa"/>
            <w:tcBorders>
              <w:top w:val="single" w:sz="4" w:space="0" w:color="000000"/>
              <w:bottom w:val="single" w:sz="4" w:space="0" w:color="000000"/>
            </w:tcBorders>
          </w:tcPr>
          <w:p>
            <w:pPr>
              <w:pStyle w:val="TableParagraph"/>
              <w:ind w:left="131" w:right="215"/>
              <w:rPr>
                <w:sz w:val="18"/>
              </w:rPr>
            </w:pPr>
            <w:r>
              <w:rPr>
                <w:sz w:val="18"/>
              </w:rPr>
              <w:t>Reductions</w:t>
            </w:r>
            <w:r>
              <w:rPr>
                <w:spacing w:val="-8"/>
                <w:sz w:val="18"/>
              </w:rPr>
              <w:t> </w:t>
            </w:r>
            <w:r>
              <w:rPr>
                <w:sz w:val="18"/>
              </w:rPr>
              <w:t>in</w:t>
            </w:r>
            <w:r>
              <w:rPr>
                <w:spacing w:val="-9"/>
                <w:sz w:val="18"/>
              </w:rPr>
              <w:t> </w:t>
            </w:r>
            <w:r>
              <w:rPr>
                <w:sz w:val="18"/>
              </w:rPr>
              <w:t>planned</w:t>
            </w:r>
            <w:r>
              <w:rPr>
                <w:spacing w:val="-9"/>
                <w:sz w:val="18"/>
              </w:rPr>
              <w:t> </w:t>
            </w:r>
            <w:r>
              <w:rPr>
                <w:sz w:val="18"/>
              </w:rPr>
              <w:t>participant</w:t>
            </w:r>
            <w:r>
              <w:rPr>
                <w:spacing w:val="-9"/>
                <w:sz w:val="18"/>
              </w:rPr>
              <w:t> </w:t>
            </w:r>
            <w:r>
              <w:rPr>
                <w:sz w:val="18"/>
              </w:rPr>
              <w:t>numbers</w:t>
            </w:r>
            <w:r>
              <w:rPr>
                <w:spacing w:val="-8"/>
                <w:sz w:val="18"/>
              </w:rPr>
              <w:t> </w:t>
            </w:r>
            <w:r>
              <w:rPr>
                <w:sz w:val="18"/>
              </w:rPr>
              <w:t>and reimbursement to ensure funding for community-based focus group moderator, transcription. Plan to involve student intern to work</w:t>
            </w:r>
            <w:r>
              <w:rPr>
                <w:spacing w:val="-4"/>
                <w:sz w:val="18"/>
              </w:rPr>
              <w:t> </w:t>
            </w:r>
            <w:r>
              <w:rPr>
                <w:sz w:val="18"/>
              </w:rPr>
              <w:t>on</w:t>
            </w:r>
            <w:r>
              <w:rPr>
                <w:spacing w:val="-2"/>
                <w:sz w:val="18"/>
              </w:rPr>
              <w:t> </w:t>
            </w:r>
            <w:r>
              <w:rPr>
                <w:sz w:val="18"/>
              </w:rPr>
              <w:t>project</w:t>
            </w:r>
            <w:r>
              <w:rPr>
                <w:spacing w:val="-3"/>
                <w:sz w:val="18"/>
              </w:rPr>
              <w:t> </w:t>
            </w:r>
            <w:r>
              <w:rPr>
                <w:sz w:val="18"/>
              </w:rPr>
              <w:t>though</w:t>
            </w:r>
            <w:r>
              <w:rPr>
                <w:spacing w:val="-4"/>
                <w:sz w:val="18"/>
              </w:rPr>
              <w:t> </w:t>
            </w:r>
            <w:r>
              <w:rPr>
                <w:sz w:val="18"/>
              </w:rPr>
              <w:t>paid</w:t>
            </w:r>
            <w:r>
              <w:rPr>
                <w:spacing w:val="-4"/>
                <w:sz w:val="18"/>
              </w:rPr>
              <w:t> </w:t>
            </w:r>
            <w:r>
              <w:rPr>
                <w:sz w:val="18"/>
              </w:rPr>
              <w:t>Pipeline</w:t>
            </w:r>
            <w:r>
              <w:rPr>
                <w:spacing w:val="-4"/>
                <w:sz w:val="18"/>
              </w:rPr>
              <w:t> </w:t>
            </w:r>
            <w:r>
              <w:rPr>
                <w:sz w:val="18"/>
              </w:rPr>
              <w:t>program. Community partner outreach, “talk story,” to facilitate introductions, establish linkages between community and researchers.</w:t>
            </w:r>
          </w:p>
        </w:tc>
      </w:tr>
      <w:tr>
        <w:trPr>
          <w:trHeight w:val="2373" w:hRule="atLeast"/>
        </w:trPr>
        <w:tc>
          <w:tcPr>
            <w:tcW w:w="2454" w:type="dxa"/>
            <w:tcBorders>
              <w:top w:val="single" w:sz="4" w:space="0" w:color="000000"/>
              <w:bottom w:val="single" w:sz="4" w:space="0" w:color="000000"/>
            </w:tcBorders>
          </w:tcPr>
          <w:p>
            <w:pPr>
              <w:pStyle w:val="TableParagraph"/>
              <w:ind w:right="512"/>
              <w:rPr>
                <w:sz w:val="18"/>
              </w:rPr>
            </w:pPr>
            <w:r>
              <w:rPr>
                <w:sz w:val="18"/>
              </w:rPr>
              <w:t>Shared</w:t>
            </w:r>
            <w:r>
              <w:rPr>
                <w:spacing w:val="-10"/>
                <w:sz w:val="18"/>
              </w:rPr>
              <w:t> </w:t>
            </w:r>
            <w:r>
              <w:rPr>
                <w:sz w:val="18"/>
              </w:rPr>
              <w:t>power</w:t>
            </w:r>
            <w:r>
              <w:rPr>
                <w:spacing w:val="-11"/>
                <w:sz w:val="18"/>
              </w:rPr>
              <w:t> </w:t>
            </w:r>
            <w:r>
              <w:rPr>
                <w:sz w:val="18"/>
              </w:rPr>
              <w:t>in</w:t>
            </w:r>
            <w:r>
              <w:rPr>
                <w:spacing w:val="-10"/>
                <w:sz w:val="18"/>
              </w:rPr>
              <w:t> </w:t>
            </w:r>
            <w:r>
              <w:rPr>
                <w:sz w:val="18"/>
              </w:rPr>
              <w:t>terms</w:t>
            </w:r>
            <w:r>
              <w:rPr>
                <w:spacing w:val="-11"/>
                <w:sz w:val="18"/>
              </w:rPr>
              <w:t> </w:t>
            </w:r>
            <w:r>
              <w:rPr>
                <w:sz w:val="18"/>
              </w:rPr>
              <w:t>of </w:t>
            </w:r>
            <w:r>
              <w:rPr>
                <w:spacing w:val="-2"/>
                <w:sz w:val="18"/>
              </w:rPr>
              <w:t>funds.</w:t>
            </w:r>
          </w:p>
        </w:tc>
        <w:tc>
          <w:tcPr>
            <w:tcW w:w="3022" w:type="dxa"/>
            <w:tcBorders>
              <w:top w:val="single" w:sz="4" w:space="0" w:color="000000"/>
              <w:bottom w:val="single" w:sz="4" w:space="0" w:color="000000"/>
            </w:tcBorders>
          </w:tcPr>
          <w:p>
            <w:pPr>
              <w:pStyle w:val="TableParagraph"/>
              <w:ind w:left="116" w:right="76"/>
              <w:rPr>
                <w:sz w:val="18"/>
              </w:rPr>
            </w:pPr>
            <w:r>
              <w:rPr>
                <w:sz w:val="18"/>
              </w:rPr>
              <w:t>Grant controlled by academic institution. Subcontract administratively burdensome for partners</w:t>
            </w:r>
            <w:r>
              <w:rPr>
                <w:spacing w:val="-2"/>
                <w:sz w:val="18"/>
              </w:rPr>
              <w:t> </w:t>
            </w:r>
            <w:r>
              <w:rPr>
                <w:sz w:val="18"/>
              </w:rPr>
              <w:t>given small</w:t>
            </w:r>
            <w:r>
              <w:rPr>
                <w:spacing w:val="-1"/>
                <w:sz w:val="18"/>
              </w:rPr>
              <w:t> </w:t>
            </w:r>
            <w:r>
              <w:rPr>
                <w:sz w:val="18"/>
              </w:rPr>
              <w:t>size</w:t>
            </w:r>
            <w:r>
              <w:rPr>
                <w:spacing w:val="-2"/>
                <w:sz w:val="18"/>
              </w:rPr>
              <w:t> </w:t>
            </w:r>
            <w:r>
              <w:rPr>
                <w:sz w:val="18"/>
              </w:rPr>
              <w:t>of</w:t>
            </w:r>
            <w:r>
              <w:rPr>
                <w:spacing w:val="-3"/>
                <w:sz w:val="18"/>
              </w:rPr>
              <w:t> </w:t>
            </w:r>
            <w:r>
              <w:rPr>
                <w:spacing w:val="-2"/>
                <w:sz w:val="18"/>
              </w:rPr>
              <w:t>budget.</w:t>
            </w:r>
          </w:p>
          <w:p>
            <w:pPr>
              <w:pStyle w:val="TableParagraph"/>
              <w:spacing w:before="202"/>
              <w:ind w:left="116"/>
              <w:rPr>
                <w:sz w:val="18"/>
              </w:rPr>
            </w:pPr>
            <w:r>
              <w:rPr>
                <w:sz w:val="18"/>
              </w:rPr>
              <w:t>Delays</w:t>
            </w:r>
            <w:r>
              <w:rPr>
                <w:spacing w:val="-10"/>
                <w:sz w:val="18"/>
              </w:rPr>
              <w:t> </w:t>
            </w:r>
            <w:r>
              <w:rPr>
                <w:sz w:val="18"/>
              </w:rPr>
              <w:t>in</w:t>
            </w:r>
            <w:r>
              <w:rPr>
                <w:spacing w:val="-9"/>
                <w:sz w:val="18"/>
              </w:rPr>
              <w:t> </w:t>
            </w:r>
            <w:r>
              <w:rPr>
                <w:sz w:val="18"/>
              </w:rPr>
              <w:t>payment</w:t>
            </w:r>
            <w:r>
              <w:rPr>
                <w:spacing w:val="-10"/>
                <w:sz w:val="18"/>
              </w:rPr>
              <w:t> </w:t>
            </w:r>
            <w:r>
              <w:rPr>
                <w:sz w:val="18"/>
              </w:rPr>
              <w:t>from</w:t>
            </w:r>
            <w:r>
              <w:rPr>
                <w:spacing w:val="-12"/>
                <w:sz w:val="18"/>
              </w:rPr>
              <w:t> </w:t>
            </w:r>
            <w:r>
              <w:rPr>
                <w:sz w:val="18"/>
              </w:rPr>
              <w:t>academic </w:t>
            </w:r>
            <w:r>
              <w:rPr>
                <w:spacing w:val="-2"/>
                <w:sz w:val="18"/>
              </w:rPr>
              <w:t>institution.</w:t>
            </w:r>
          </w:p>
          <w:p>
            <w:pPr>
              <w:pStyle w:val="TableParagraph"/>
              <w:ind w:left="0"/>
              <w:rPr>
                <w:sz w:val="18"/>
              </w:rPr>
            </w:pPr>
          </w:p>
          <w:p>
            <w:pPr>
              <w:pStyle w:val="TableParagraph"/>
              <w:ind w:left="116"/>
              <w:rPr>
                <w:sz w:val="18"/>
              </w:rPr>
            </w:pPr>
            <w:r>
              <w:rPr>
                <w:sz w:val="18"/>
              </w:rPr>
              <w:t>Misunderstanding</w:t>
            </w:r>
            <w:r>
              <w:rPr>
                <w:spacing w:val="-12"/>
                <w:sz w:val="18"/>
              </w:rPr>
              <w:t> </w:t>
            </w:r>
            <w:r>
              <w:rPr>
                <w:sz w:val="18"/>
              </w:rPr>
              <w:t>among</w:t>
            </w:r>
            <w:r>
              <w:rPr>
                <w:spacing w:val="-11"/>
                <w:sz w:val="18"/>
              </w:rPr>
              <w:t> </w:t>
            </w:r>
            <w:r>
              <w:rPr>
                <w:sz w:val="18"/>
              </w:rPr>
              <w:t>partners regarding</w:t>
            </w:r>
            <w:r>
              <w:rPr>
                <w:spacing w:val="-1"/>
                <w:sz w:val="18"/>
              </w:rPr>
              <w:t> </w:t>
            </w:r>
            <w:r>
              <w:rPr>
                <w:sz w:val="18"/>
              </w:rPr>
              <w:t>non-receipt</w:t>
            </w:r>
            <w:r>
              <w:rPr>
                <w:spacing w:val="-2"/>
                <w:sz w:val="18"/>
              </w:rPr>
              <w:t> </w:t>
            </w:r>
            <w:r>
              <w:rPr>
                <w:sz w:val="18"/>
              </w:rPr>
              <w:t>of</w:t>
            </w:r>
            <w:r>
              <w:rPr>
                <w:spacing w:val="-2"/>
                <w:sz w:val="18"/>
              </w:rPr>
              <w:t> payment.</w:t>
            </w:r>
          </w:p>
        </w:tc>
        <w:tc>
          <w:tcPr>
            <w:tcW w:w="3741" w:type="dxa"/>
            <w:tcBorders>
              <w:top w:val="single" w:sz="4" w:space="0" w:color="000000"/>
              <w:bottom w:val="single" w:sz="4" w:space="0" w:color="000000"/>
            </w:tcBorders>
          </w:tcPr>
          <w:p>
            <w:pPr>
              <w:pStyle w:val="TableParagraph"/>
              <w:ind w:left="131" w:right="395"/>
              <w:rPr>
                <w:sz w:val="18"/>
              </w:rPr>
            </w:pPr>
            <w:r>
              <w:rPr>
                <w:sz w:val="18"/>
              </w:rPr>
              <w:t>Transparency</w:t>
            </w:r>
            <w:r>
              <w:rPr>
                <w:spacing w:val="-12"/>
                <w:sz w:val="18"/>
              </w:rPr>
              <w:t> </w:t>
            </w:r>
            <w:r>
              <w:rPr>
                <w:sz w:val="18"/>
              </w:rPr>
              <w:t>regarding</w:t>
            </w:r>
            <w:r>
              <w:rPr>
                <w:spacing w:val="-11"/>
                <w:sz w:val="18"/>
              </w:rPr>
              <w:t> </w:t>
            </w:r>
            <w:r>
              <w:rPr>
                <w:sz w:val="18"/>
              </w:rPr>
              <w:t>budget,</w:t>
            </w:r>
            <w:r>
              <w:rPr>
                <w:spacing w:val="-11"/>
                <w:sz w:val="18"/>
              </w:rPr>
              <w:t> </w:t>
            </w:r>
            <w:r>
              <w:rPr>
                <w:sz w:val="18"/>
              </w:rPr>
              <w:t>with agreements documented in MOU.</w:t>
            </w:r>
          </w:p>
          <w:p>
            <w:pPr>
              <w:pStyle w:val="TableParagraph"/>
              <w:spacing w:before="202"/>
              <w:ind w:left="131"/>
              <w:rPr>
                <w:sz w:val="18"/>
              </w:rPr>
            </w:pPr>
            <w:r>
              <w:rPr>
                <w:sz w:val="18"/>
              </w:rPr>
              <w:t>Transparency</w:t>
            </w:r>
            <w:r>
              <w:rPr>
                <w:spacing w:val="-12"/>
                <w:sz w:val="18"/>
              </w:rPr>
              <w:t> </w:t>
            </w:r>
            <w:r>
              <w:rPr>
                <w:sz w:val="18"/>
              </w:rPr>
              <w:t>regarding</w:t>
            </w:r>
            <w:r>
              <w:rPr>
                <w:spacing w:val="-11"/>
                <w:sz w:val="18"/>
              </w:rPr>
              <w:t> </w:t>
            </w:r>
            <w:r>
              <w:rPr>
                <w:sz w:val="18"/>
              </w:rPr>
              <w:t>academic</w:t>
            </w:r>
            <w:r>
              <w:rPr>
                <w:spacing w:val="-11"/>
                <w:sz w:val="18"/>
              </w:rPr>
              <w:t> </w:t>
            </w:r>
            <w:r>
              <w:rPr>
                <w:sz w:val="18"/>
              </w:rPr>
              <w:t>institutional processes and rules for fund disbursements.</w:t>
            </w:r>
          </w:p>
          <w:p>
            <w:pPr>
              <w:pStyle w:val="TableParagraph"/>
              <w:spacing w:before="1"/>
              <w:ind w:left="0"/>
              <w:rPr>
                <w:sz w:val="18"/>
              </w:rPr>
            </w:pPr>
          </w:p>
          <w:p>
            <w:pPr>
              <w:pStyle w:val="TableParagraph"/>
              <w:spacing w:before="1"/>
              <w:ind w:left="131"/>
              <w:rPr>
                <w:sz w:val="18"/>
              </w:rPr>
            </w:pPr>
            <w:r>
              <w:rPr>
                <w:sz w:val="18"/>
              </w:rPr>
              <w:t>Learned</w:t>
            </w:r>
            <w:r>
              <w:rPr>
                <w:spacing w:val="-7"/>
                <w:sz w:val="18"/>
              </w:rPr>
              <w:t> </w:t>
            </w:r>
            <w:r>
              <w:rPr>
                <w:sz w:val="18"/>
              </w:rPr>
              <w:t>most</w:t>
            </w:r>
            <w:r>
              <w:rPr>
                <w:spacing w:val="-10"/>
                <w:sz w:val="18"/>
              </w:rPr>
              <w:t> </w:t>
            </w:r>
            <w:r>
              <w:rPr>
                <w:sz w:val="18"/>
              </w:rPr>
              <w:t>efficient</w:t>
            </w:r>
            <w:r>
              <w:rPr>
                <w:spacing w:val="-10"/>
                <w:sz w:val="18"/>
              </w:rPr>
              <w:t> </w:t>
            </w:r>
            <w:r>
              <w:rPr>
                <w:sz w:val="18"/>
              </w:rPr>
              <w:t>and</w:t>
            </w:r>
            <w:r>
              <w:rPr>
                <w:spacing w:val="-9"/>
                <w:sz w:val="18"/>
              </w:rPr>
              <w:t> </w:t>
            </w:r>
            <w:r>
              <w:rPr>
                <w:sz w:val="18"/>
              </w:rPr>
              <w:t>appropriate</w:t>
            </w:r>
            <w:r>
              <w:rPr>
                <w:spacing w:val="-11"/>
                <w:sz w:val="18"/>
              </w:rPr>
              <w:t> </w:t>
            </w:r>
            <w:r>
              <w:rPr>
                <w:sz w:val="18"/>
              </w:rPr>
              <w:t>payment mechanisms for needs of project.</w:t>
            </w:r>
          </w:p>
          <w:p>
            <w:pPr>
              <w:pStyle w:val="TableParagraph"/>
              <w:spacing w:before="205"/>
              <w:ind w:left="131" w:right="141"/>
              <w:rPr>
                <w:sz w:val="18"/>
              </w:rPr>
            </w:pPr>
            <w:r>
              <w:rPr>
                <w:sz w:val="18"/>
              </w:rPr>
              <w:t>Multiple</w:t>
            </w:r>
            <w:r>
              <w:rPr>
                <w:spacing w:val="-9"/>
                <w:sz w:val="18"/>
              </w:rPr>
              <w:t> </w:t>
            </w:r>
            <w:r>
              <w:rPr>
                <w:sz w:val="18"/>
              </w:rPr>
              <w:t>methods</w:t>
            </w:r>
            <w:r>
              <w:rPr>
                <w:spacing w:val="-9"/>
                <w:sz w:val="18"/>
              </w:rPr>
              <w:t> </w:t>
            </w:r>
            <w:r>
              <w:rPr>
                <w:sz w:val="18"/>
              </w:rPr>
              <w:t>of</w:t>
            </w:r>
            <w:r>
              <w:rPr>
                <w:spacing w:val="-11"/>
                <w:sz w:val="18"/>
              </w:rPr>
              <w:t> </w:t>
            </w:r>
            <w:r>
              <w:rPr>
                <w:sz w:val="18"/>
              </w:rPr>
              <w:t>communication;</w:t>
            </w:r>
            <w:r>
              <w:rPr>
                <w:spacing w:val="-11"/>
                <w:sz w:val="18"/>
              </w:rPr>
              <w:t> </w:t>
            </w:r>
            <w:r>
              <w:rPr>
                <w:sz w:val="18"/>
              </w:rPr>
              <w:t>involving all partners in communications.</w:t>
            </w:r>
          </w:p>
        </w:tc>
      </w:tr>
    </w:tbl>
    <w:p>
      <w:pPr>
        <w:spacing w:after="0"/>
        <w:rPr>
          <w:sz w:val="18"/>
        </w:rPr>
        <w:sectPr>
          <w:pgSz w:w="12240" w:h="15840"/>
          <w:pgMar w:header="721" w:footer="792" w:top="1340" w:bottom="980" w:left="1320" w:right="1320"/>
        </w:sectPr>
      </w:pPr>
    </w:p>
    <w:p>
      <w:pPr>
        <w:pStyle w:val="BodyText"/>
        <w:spacing w:before="81"/>
        <w:ind w:right="46"/>
      </w:pPr>
      <w:r>
        <w:rPr/>
        <w:t>Academic</w:t>
      </w:r>
      <w:r>
        <w:rPr>
          <w:spacing w:val="-5"/>
        </w:rPr>
        <w:t> </w:t>
      </w:r>
      <w:r>
        <w:rPr/>
        <w:t>researchers,</w:t>
      </w:r>
      <w:r>
        <w:rPr>
          <w:spacing w:val="-5"/>
        </w:rPr>
        <w:t> </w:t>
      </w:r>
      <w:r>
        <w:rPr/>
        <w:t>particularly</w:t>
      </w:r>
      <w:r>
        <w:rPr>
          <w:spacing w:val="-9"/>
        </w:rPr>
        <w:t> </w:t>
      </w:r>
      <w:r>
        <w:rPr/>
        <w:t>junior</w:t>
      </w:r>
      <w:r>
        <w:rPr>
          <w:spacing w:val="-4"/>
        </w:rPr>
        <w:t> </w:t>
      </w:r>
      <w:r>
        <w:rPr/>
        <w:t>faculty who face a “publish or perish” tenure clock, are constantly</w:t>
      </w:r>
      <w:r>
        <w:rPr>
          <w:spacing w:val="-3"/>
        </w:rPr>
        <w:t> </w:t>
      </w:r>
      <w:r>
        <w:rPr/>
        <w:t>pressured to demonstrate</w:t>
      </w:r>
      <w:r>
        <w:rPr>
          <w:spacing w:val="-2"/>
        </w:rPr>
        <w:t> </w:t>
      </w:r>
      <w:r>
        <w:rPr/>
        <w:t>productivity in</w:t>
      </w:r>
      <w:r>
        <w:rPr>
          <w:spacing w:val="40"/>
        </w:rPr>
        <w:t> </w:t>
      </w:r>
      <w:r>
        <w:rPr/>
        <w:t>terms</w:t>
      </w:r>
      <w:r>
        <w:rPr>
          <w:spacing w:val="40"/>
        </w:rPr>
        <w:t> </w:t>
      </w:r>
      <w:r>
        <w:rPr/>
        <w:t>of</w:t>
      </w:r>
      <w:r>
        <w:rPr>
          <w:spacing w:val="40"/>
        </w:rPr>
        <w:t> </w:t>
      </w:r>
      <w:r>
        <w:rPr/>
        <w:t>publishing</w:t>
      </w:r>
      <w:r>
        <w:rPr>
          <w:spacing w:val="40"/>
        </w:rPr>
        <w:t> </w:t>
      </w:r>
      <w:r>
        <w:rPr/>
        <w:t>results</w:t>
      </w:r>
      <w:r>
        <w:rPr>
          <w:spacing w:val="40"/>
        </w:rPr>
        <w:t> </w:t>
      </w:r>
      <w:r>
        <w:rPr/>
        <w:t>as</w:t>
      </w:r>
      <w:r>
        <w:rPr>
          <w:spacing w:val="40"/>
        </w:rPr>
        <w:t> </w:t>
      </w:r>
      <w:r>
        <w:rPr/>
        <w:t>quickly</w:t>
      </w:r>
      <w:r>
        <w:rPr>
          <w:spacing w:val="40"/>
        </w:rPr>
        <w:t> </w:t>
      </w:r>
      <w:r>
        <w:rPr/>
        <w:t>as</w:t>
      </w:r>
      <w:r>
        <w:rPr>
          <w:spacing w:val="80"/>
        </w:rPr>
        <w:t> </w:t>
      </w:r>
      <w:r>
        <w:rPr/>
        <w:t>possible, lest they find themselves with insufficient</w:t>
      </w:r>
      <w:r>
        <w:rPr>
          <w:spacing w:val="80"/>
        </w:rPr>
        <w:t> </w:t>
      </w:r>
      <w:r>
        <w:rPr/>
        <w:t>publications</w:t>
      </w:r>
      <w:r>
        <w:rPr>
          <w:spacing w:val="80"/>
        </w:rPr>
        <w:t> </w:t>
      </w:r>
      <w:r>
        <w:rPr/>
        <w:t>for</w:t>
      </w:r>
      <w:r>
        <w:rPr>
          <w:spacing w:val="80"/>
        </w:rPr>
        <w:t> </w:t>
      </w:r>
      <w:r>
        <w:rPr/>
        <w:t>promotion</w:t>
      </w:r>
      <w:r>
        <w:rPr>
          <w:spacing w:val="80"/>
        </w:rPr>
        <w:t> </w:t>
      </w:r>
      <w:r>
        <w:rPr/>
        <w:t>and consequently</w:t>
      </w:r>
      <w:r>
        <w:rPr>
          <w:spacing w:val="-1"/>
        </w:rPr>
        <w:t> </w:t>
      </w:r>
      <w:r>
        <w:rPr/>
        <w:t>without a</w:t>
      </w:r>
      <w:r>
        <w:rPr>
          <w:spacing w:val="-1"/>
        </w:rPr>
        <w:t> </w:t>
      </w:r>
      <w:r>
        <w:rPr/>
        <w:t>job.</w:t>
      </w:r>
      <w:r>
        <w:rPr>
          <w:spacing w:val="-1"/>
        </w:rPr>
        <w:t> </w:t>
      </w:r>
      <w:r>
        <w:rPr/>
        <w:t>It is ironic</w:t>
      </w:r>
      <w:r>
        <w:rPr>
          <w:spacing w:val="-1"/>
        </w:rPr>
        <w:t> </w:t>
      </w:r>
      <w:r>
        <w:rPr/>
        <w:t>that often those</w:t>
      </w:r>
      <w:r>
        <w:rPr>
          <w:spacing w:val="38"/>
        </w:rPr>
        <w:t> </w:t>
      </w:r>
      <w:r>
        <w:rPr/>
        <w:t>most</w:t>
      </w:r>
      <w:r>
        <w:rPr>
          <w:spacing w:val="39"/>
        </w:rPr>
        <w:t> </w:t>
      </w:r>
      <w:r>
        <w:rPr/>
        <w:t>interested</w:t>
      </w:r>
      <w:r>
        <w:rPr>
          <w:spacing w:val="38"/>
        </w:rPr>
        <w:t> </w:t>
      </w:r>
      <w:r>
        <w:rPr/>
        <w:t>in</w:t>
      </w:r>
      <w:r>
        <w:rPr>
          <w:spacing w:val="38"/>
        </w:rPr>
        <w:t> </w:t>
      </w:r>
      <w:r>
        <w:rPr/>
        <w:t>conducting</w:t>
      </w:r>
      <w:r>
        <w:rPr>
          <w:spacing w:val="35"/>
        </w:rPr>
        <w:t> </w:t>
      </w:r>
      <w:r>
        <w:rPr/>
        <w:t>CBPR</w:t>
      </w:r>
      <w:r>
        <w:rPr>
          <w:spacing w:val="36"/>
        </w:rPr>
        <w:t> </w:t>
      </w:r>
      <w:r>
        <w:rPr/>
        <w:t>are the younger generation of junior faculty who are most</w:t>
      </w:r>
      <w:r>
        <w:rPr>
          <w:spacing w:val="40"/>
        </w:rPr>
        <w:t> </w:t>
      </w:r>
      <w:r>
        <w:rPr/>
        <w:t>vulnerable</w:t>
      </w:r>
      <w:r>
        <w:rPr>
          <w:spacing w:val="40"/>
        </w:rPr>
        <w:t> </w:t>
      </w:r>
      <w:r>
        <w:rPr/>
        <w:t>to</w:t>
      </w:r>
      <w:r>
        <w:rPr>
          <w:spacing w:val="40"/>
        </w:rPr>
        <w:t> </w:t>
      </w:r>
      <w:r>
        <w:rPr/>
        <w:t>“publish</w:t>
      </w:r>
      <w:r>
        <w:rPr>
          <w:spacing w:val="40"/>
        </w:rPr>
        <w:t> </w:t>
      </w:r>
      <w:r>
        <w:rPr/>
        <w:t>or</w:t>
      </w:r>
      <w:r>
        <w:rPr>
          <w:spacing w:val="40"/>
        </w:rPr>
        <w:t> </w:t>
      </w:r>
      <w:r>
        <w:rPr/>
        <w:t>perish”</w:t>
      </w:r>
      <w:r>
        <w:rPr>
          <w:spacing w:val="40"/>
        </w:rPr>
        <w:t> </w:t>
      </w:r>
      <w:r>
        <w:rPr/>
        <w:t>time</w:t>
      </w:r>
      <w:r>
        <w:rPr>
          <w:spacing w:val="40"/>
        </w:rPr>
        <w:t> </w:t>
      </w:r>
      <w:r>
        <w:rPr/>
        <w:t>pressures.</w:t>
      </w:r>
      <w:r>
        <w:rPr>
          <w:spacing w:val="40"/>
        </w:rPr>
        <w:t> </w:t>
      </w:r>
      <w:r>
        <w:rPr/>
        <w:t>The</w:t>
      </w:r>
      <w:r>
        <w:rPr>
          <w:spacing w:val="40"/>
        </w:rPr>
        <w:t> </w:t>
      </w:r>
      <w:r>
        <w:rPr/>
        <w:t>time</w:t>
      </w:r>
      <w:r>
        <w:rPr>
          <w:spacing w:val="40"/>
        </w:rPr>
        <w:t> </w:t>
      </w:r>
      <w:r>
        <w:rPr/>
        <w:t>needed</w:t>
      </w:r>
      <w:r>
        <w:rPr>
          <w:spacing w:val="40"/>
        </w:rPr>
        <w:t> </w:t>
      </w:r>
      <w:r>
        <w:rPr/>
        <w:t>to</w:t>
      </w:r>
      <w:r>
        <w:rPr>
          <w:spacing w:val="40"/>
        </w:rPr>
        <w:t> </w:t>
      </w:r>
      <w:r>
        <w:rPr/>
        <w:t>establish</w:t>
      </w:r>
      <w:r>
        <w:rPr>
          <w:spacing w:val="40"/>
        </w:rPr>
        <w:t> </w:t>
      </w:r>
      <w:r>
        <w:rPr/>
        <w:t>new relationships</w:t>
      </w:r>
      <w:r>
        <w:rPr>
          <w:spacing w:val="40"/>
        </w:rPr>
        <w:t> </w:t>
      </w:r>
      <w:r>
        <w:rPr/>
        <w:t>with</w:t>
      </w:r>
      <w:r>
        <w:rPr>
          <w:spacing w:val="40"/>
        </w:rPr>
        <w:t> </w:t>
      </w:r>
      <w:r>
        <w:rPr/>
        <w:t>unknown</w:t>
      </w:r>
      <w:r>
        <w:rPr>
          <w:spacing w:val="40"/>
        </w:rPr>
        <w:t> </w:t>
      </w:r>
      <w:r>
        <w:rPr/>
        <w:t>individuals</w:t>
      </w:r>
      <w:r>
        <w:rPr>
          <w:spacing w:val="40"/>
        </w:rPr>
        <w:t> </w:t>
      </w:r>
      <w:r>
        <w:rPr/>
        <w:t>from different</w:t>
      </w:r>
      <w:r>
        <w:rPr>
          <w:spacing w:val="-4"/>
        </w:rPr>
        <w:t> </w:t>
      </w:r>
      <w:r>
        <w:rPr/>
        <w:t>and</w:t>
      </w:r>
      <w:r>
        <w:rPr>
          <w:spacing w:val="-5"/>
        </w:rPr>
        <w:t> </w:t>
      </w:r>
      <w:r>
        <w:rPr/>
        <w:t>often</w:t>
      </w:r>
      <w:r>
        <w:rPr>
          <w:spacing w:val="-5"/>
        </w:rPr>
        <w:t> </w:t>
      </w:r>
      <w:r>
        <w:rPr/>
        <w:t>unfamiliar</w:t>
      </w:r>
      <w:r>
        <w:rPr>
          <w:spacing w:val="-4"/>
        </w:rPr>
        <w:t> </w:t>
      </w:r>
      <w:r>
        <w:rPr/>
        <w:t>disciplines</w:t>
      </w:r>
      <w:r>
        <w:rPr>
          <w:spacing w:val="-5"/>
        </w:rPr>
        <w:t> </w:t>
      </w:r>
      <w:r>
        <w:rPr/>
        <w:t>is</w:t>
      </w:r>
      <w:r>
        <w:rPr>
          <w:spacing w:val="-5"/>
        </w:rPr>
        <w:t> </w:t>
      </w:r>
      <w:r>
        <w:rPr/>
        <w:t>often viewed as a luxury, yet it is an essential</w:t>
      </w:r>
    </w:p>
    <w:p>
      <w:pPr>
        <w:pStyle w:val="BodyText"/>
        <w:ind w:left="0"/>
      </w:pPr>
    </w:p>
    <w:p>
      <w:pPr>
        <w:pStyle w:val="BodyText"/>
        <w:spacing w:before="7"/>
        <w:ind w:left="0"/>
      </w:pPr>
    </w:p>
    <w:p>
      <w:pPr>
        <w:pStyle w:val="Heading1"/>
        <w:ind w:left="93"/>
        <w:jc w:val="center"/>
      </w:pPr>
      <w:r>
        <w:rPr/>
        <w:t>Table </w:t>
      </w:r>
      <w:r>
        <w:rPr>
          <w:spacing w:val="-10"/>
        </w:rPr>
        <w:t>3</w:t>
      </w:r>
    </w:p>
    <w:p>
      <w:pPr>
        <w:pStyle w:val="BodyText"/>
        <w:spacing w:before="246"/>
        <w:ind w:left="80"/>
        <w:jc w:val="center"/>
      </w:pPr>
      <w:r>
        <w:rPr>
          <w:spacing w:val="20"/>
          <w:u w:val="single"/>
        </w:rPr>
        <w:t> </w:t>
      </w:r>
      <w:r>
        <w:rPr>
          <w:u w:val="single"/>
        </w:rPr>
        <w:t>Patient</w:t>
      </w:r>
      <w:r>
        <w:rPr>
          <w:spacing w:val="-4"/>
          <w:u w:val="single"/>
        </w:rPr>
        <w:t> </w:t>
      </w:r>
      <w:r>
        <w:rPr>
          <w:u w:val="single"/>
        </w:rPr>
        <w:t>Navigation</w:t>
      </w:r>
      <w:r>
        <w:rPr>
          <w:spacing w:val="-4"/>
          <w:u w:val="single"/>
        </w:rPr>
        <w:t> </w:t>
      </w:r>
      <w:r>
        <w:rPr>
          <w:u w:val="single"/>
        </w:rPr>
        <w:t>Project</w:t>
      </w:r>
      <w:r>
        <w:rPr>
          <w:spacing w:val="-6"/>
          <w:u w:val="single"/>
        </w:rPr>
        <w:t> </w:t>
      </w:r>
      <w:r>
        <w:rPr>
          <w:u w:val="single"/>
        </w:rPr>
        <w:t>Partnership</w:t>
      </w:r>
      <w:r>
        <w:rPr>
          <w:spacing w:val="-6"/>
          <w:u w:val="single"/>
        </w:rPr>
        <w:t> </w:t>
      </w:r>
      <w:r>
        <w:rPr>
          <w:spacing w:val="-2"/>
          <w:u w:val="single"/>
        </w:rPr>
        <w:t>Activities</w:t>
      </w:r>
      <w:r>
        <w:rPr>
          <w:spacing w:val="40"/>
          <w:u w:val="single"/>
        </w:rPr>
        <w:t> </w:t>
      </w:r>
    </w:p>
    <w:p>
      <w:pPr>
        <w:pStyle w:val="BodyText"/>
        <w:spacing w:before="7"/>
        <w:ind w:left="0"/>
        <w:rPr>
          <w:sz w:val="2"/>
        </w:rPr>
      </w:pPr>
    </w:p>
    <w:tbl>
      <w:tblPr>
        <w:tblW w:w="0" w:type="auto"/>
        <w:jc w:val="left"/>
        <w:tblInd w:w="12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4441"/>
      </w:tblGrid>
      <w:tr>
        <w:trPr>
          <w:trHeight w:val="207" w:hRule="atLeast"/>
        </w:trPr>
        <w:tc>
          <w:tcPr>
            <w:tcW w:w="4441" w:type="dxa"/>
          </w:tcPr>
          <w:p>
            <w:pPr>
              <w:pStyle w:val="TableParagraph"/>
              <w:tabs>
                <w:tab w:pos="4440" w:val="left" w:leader="none"/>
              </w:tabs>
              <w:spacing w:line="188" w:lineRule="exact"/>
              <w:ind w:left="0"/>
              <w:rPr>
                <w:b/>
                <w:sz w:val="18"/>
              </w:rPr>
            </w:pPr>
            <w:r>
              <w:rPr>
                <w:b/>
                <w:spacing w:val="61"/>
                <w:sz w:val="18"/>
                <w:u w:val="single"/>
              </w:rPr>
              <w:t> </w:t>
            </w:r>
            <w:r>
              <w:rPr>
                <w:b/>
                <w:sz w:val="18"/>
                <w:u w:val="single"/>
              </w:rPr>
              <w:t>Completed</w:t>
            </w:r>
            <w:r>
              <w:rPr>
                <w:b/>
                <w:spacing w:val="-3"/>
                <w:sz w:val="18"/>
                <w:u w:val="single"/>
              </w:rPr>
              <w:t> </w:t>
            </w:r>
            <w:r>
              <w:rPr>
                <w:b/>
                <w:sz w:val="18"/>
                <w:u w:val="single"/>
              </w:rPr>
              <w:t>To</w:t>
            </w:r>
            <w:r>
              <w:rPr>
                <w:b/>
                <w:spacing w:val="-1"/>
                <w:sz w:val="18"/>
                <w:u w:val="single"/>
              </w:rPr>
              <w:t> </w:t>
            </w:r>
            <w:r>
              <w:rPr>
                <w:b/>
                <w:spacing w:val="-4"/>
                <w:sz w:val="18"/>
                <w:u w:val="single"/>
              </w:rPr>
              <w:t>Date</w:t>
            </w:r>
            <w:r>
              <w:rPr>
                <w:b/>
                <w:sz w:val="18"/>
                <w:u w:val="single"/>
              </w:rPr>
              <w:tab/>
            </w:r>
          </w:p>
        </w:tc>
      </w:tr>
      <w:tr>
        <w:trPr>
          <w:trHeight w:val="630" w:hRule="atLeast"/>
        </w:trPr>
        <w:tc>
          <w:tcPr>
            <w:tcW w:w="4441" w:type="dxa"/>
          </w:tcPr>
          <w:p>
            <w:pPr>
              <w:pStyle w:val="TableParagraph"/>
              <w:ind w:left="271"/>
              <w:rPr>
                <w:sz w:val="18"/>
              </w:rPr>
            </w:pPr>
            <w:r>
              <w:rPr>
                <w:sz w:val="18"/>
              </w:rPr>
              <w:t>Series of introductory meetings between academic and community</w:t>
            </w:r>
            <w:r>
              <w:rPr>
                <w:spacing w:val="51"/>
                <w:sz w:val="18"/>
              </w:rPr>
              <w:t> </w:t>
            </w:r>
            <w:r>
              <w:rPr>
                <w:sz w:val="18"/>
              </w:rPr>
              <w:t>partners</w:t>
            </w:r>
            <w:r>
              <w:rPr>
                <w:spacing w:val="54"/>
                <w:sz w:val="18"/>
              </w:rPr>
              <w:t> </w:t>
            </w:r>
            <w:r>
              <w:rPr>
                <w:sz w:val="18"/>
              </w:rPr>
              <w:t>to</w:t>
            </w:r>
            <w:r>
              <w:rPr>
                <w:spacing w:val="56"/>
                <w:sz w:val="18"/>
              </w:rPr>
              <w:t> </w:t>
            </w:r>
            <w:r>
              <w:rPr>
                <w:sz w:val="18"/>
              </w:rPr>
              <w:t>gain</w:t>
            </w:r>
            <w:r>
              <w:rPr>
                <w:spacing w:val="55"/>
                <w:sz w:val="18"/>
              </w:rPr>
              <w:t> </w:t>
            </w:r>
            <w:r>
              <w:rPr>
                <w:sz w:val="18"/>
              </w:rPr>
              <w:t>overview</w:t>
            </w:r>
            <w:r>
              <w:rPr>
                <w:spacing w:val="52"/>
                <w:sz w:val="18"/>
              </w:rPr>
              <w:t> </w:t>
            </w:r>
            <w:r>
              <w:rPr>
                <w:sz w:val="18"/>
              </w:rPr>
              <w:t>of</w:t>
            </w:r>
            <w:r>
              <w:rPr>
                <w:spacing w:val="52"/>
                <w:sz w:val="18"/>
              </w:rPr>
              <w:t> </w:t>
            </w:r>
            <w:r>
              <w:rPr>
                <w:sz w:val="18"/>
              </w:rPr>
              <w:t>issues</w:t>
            </w:r>
            <w:r>
              <w:rPr>
                <w:spacing w:val="54"/>
                <w:sz w:val="18"/>
              </w:rPr>
              <w:t> </w:t>
            </w:r>
            <w:r>
              <w:rPr>
                <w:spacing w:val="-5"/>
                <w:sz w:val="18"/>
              </w:rPr>
              <w:t>and</w:t>
            </w:r>
          </w:p>
          <w:p>
            <w:pPr>
              <w:pStyle w:val="TableParagraph"/>
              <w:tabs>
                <w:tab w:pos="271" w:val="left" w:leader="none"/>
                <w:tab w:pos="4440" w:val="left" w:leader="none"/>
              </w:tabs>
              <w:spacing w:line="195" w:lineRule="exact"/>
              <w:ind w:left="0"/>
              <w:rPr>
                <w:sz w:val="18"/>
              </w:rPr>
            </w:pPr>
            <w:r>
              <w:rPr>
                <w:sz w:val="18"/>
                <w:u w:val="single"/>
              </w:rPr>
              <w:tab/>
            </w:r>
            <w:r>
              <w:rPr>
                <w:spacing w:val="-2"/>
                <w:sz w:val="18"/>
                <w:u w:val="single"/>
              </w:rPr>
              <w:t>program.</w:t>
            </w:r>
            <w:r>
              <w:rPr>
                <w:sz w:val="18"/>
                <w:u w:val="single"/>
              </w:rPr>
              <w:tab/>
            </w:r>
          </w:p>
        </w:tc>
      </w:tr>
      <w:tr>
        <w:trPr>
          <w:trHeight w:val="837" w:hRule="atLeast"/>
        </w:trPr>
        <w:tc>
          <w:tcPr>
            <w:tcW w:w="4441" w:type="dxa"/>
          </w:tcPr>
          <w:p>
            <w:pPr>
              <w:pStyle w:val="TableParagraph"/>
              <w:spacing w:before="2"/>
              <w:ind w:left="271"/>
              <w:rPr>
                <w:sz w:val="18"/>
              </w:rPr>
            </w:pPr>
            <w:r>
              <w:rPr>
                <w:sz w:val="18"/>
              </w:rPr>
              <w:t>Review</w:t>
            </w:r>
            <w:r>
              <w:rPr>
                <w:spacing w:val="-2"/>
                <w:sz w:val="18"/>
              </w:rPr>
              <w:t> </w:t>
            </w:r>
            <w:r>
              <w:rPr>
                <w:sz w:val="18"/>
              </w:rPr>
              <w:t>of</w:t>
            </w:r>
            <w:r>
              <w:rPr>
                <w:spacing w:val="-2"/>
                <w:sz w:val="18"/>
              </w:rPr>
              <w:t> </w:t>
            </w:r>
            <w:r>
              <w:rPr>
                <w:sz w:val="18"/>
              </w:rPr>
              <w:t>navigation</w:t>
            </w:r>
            <w:r>
              <w:rPr>
                <w:spacing w:val="-1"/>
                <w:sz w:val="18"/>
              </w:rPr>
              <w:t> </w:t>
            </w:r>
            <w:r>
              <w:rPr>
                <w:sz w:val="18"/>
              </w:rPr>
              <w:t>literature</w:t>
            </w:r>
            <w:r>
              <w:rPr>
                <w:spacing w:val="-2"/>
                <w:sz w:val="18"/>
              </w:rPr>
              <w:t> </w:t>
            </w:r>
            <w:r>
              <w:rPr>
                <w:sz w:val="18"/>
              </w:rPr>
              <w:t>to identify</w:t>
            </w:r>
            <w:r>
              <w:rPr>
                <w:spacing w:val="-5"/>
                <w:sz w:val="18"/>
              </w:rPr>
              <w:t> </w:t>
            </w:r>
            <w:r>
              <w:rPr>
                <w:sz w:val="18"/>
              </w:rPr>
              <w:t>strengths</w:t>
            </w:r>
            <w:r>
              <w:rPr>
                <w:spacing w:val="-2"/>
                <w:sz w:val="18"/>
              </w:rPr>
              <w:t> </w:t>
            </w:r>
            <w:r>
              <w:rPr>
                <w:sz w:val="18"/>
              </w:rPr>
              <w:t>and gaps in existing literature.</w:t>
            </w:r>
          </w:p>
          <w:p>
            <w:pPr>
              <w:pStyle w:val="TableParagraph"/>
              <w:spacing w:line="206" w:lineRule="exact"/>
              <w:ind w:left="271"/>
              <w:rPr>
                <w:sz w:val="18"/>
              </w:rPr>
            </w:pPr>
            <w:r>
              <w:rPr>
                <w:sz w:val="18"/>
              </w:rPr>
              <w:t>Continued</w:t>
            </w:r>
            <w:r>
              <w:rPr>
                <w:spacing w:val="41"/>
                <w:sz w:val="18"/>
              </w:rPr>
              <w:t> </w:t>
            </w:r>
            <w:r>
              <w:rPr>
                <w:sz w:val="18"/>
              </w:rPr>
              <w:t>team</w:t>
            </w:r>
            <w:r>
              <w:rPr>
                <w:spacing w:val="36"/>
                <w:sz w:val="18"/>
              </w:rPr>
              <w:t> </w:t>
            </w:r>
            <w:r>
              <w:rPr>
                <w:sz w:val="18"/>
              </w:rPr>
              <w:t>project</w:t>
            </w:r>
            <w:r>
              <w:rPr>
                <w:spacing w:val="40"/>
                <w:sz w:val="18"/>
              </w:rPr>
              <w:t> </w:t>
            </w:r>
            <w:r>
              <w:rPr>
                <w:sz w:val="18"/>
              </w:rPr>
              <w:t>planning</w:t>
            </w:r>
            <w:r>
              <w:rPr>
                <w:spacing w:val="41"/>
                <w:sz w:val="18"/>
              </w:rPr>
              <w:t> </w:t>
            </w:r>
            <w:r>
              <w:rPr>
                <w:sz w:val="18"/>
              </w:rPr>
              <w:t>meetings</w:t>
            </w:r>
            <w:r>
              <w:rPr>
                <w:spacing w:val="39"/>
                <w:sz w:val="18"/>
              </w:rPr>
              <w:t> </w:t>
            </w:r>
            <w:r>
              <w:rPr>
                <w:sz w:val="18"/>
              </w:rPr>
              <w:t>to</w:t>
            </w:r>
            <w:r>
              <w:rPr>
                <w:spacing w:val="42"/>
                <w:sz w:val="18"/>
              </w:rPr>
              <w:t> </w:t>
            </w:r>
            <w:r>
              <w:rPr>
                <w:spacing w:val="-2"/>
                <w:sz w:val="18"/>
              </w:rPr>
              <w:t>discuss</w:t>
            </w:r>
          </w:p>
          <w:p>
            <w:pPr>
              <w:pStyle w:val="TableParagraph"/>
              <w:tabs>
                <w:tab w:pos="271" w:val="left" w:leader="none"/>
                <w:tab w:pos="4440" w:val="left" w:leader="none"/>
              </w:tabs>
              <w:spacing w:line="196" w:lineRule="exact"/>
              <w:ind w:left="0"/>
              <w:rPr>
                <w:sz w:val="18"/>
              </w:rPr>
            </w:pPr>
            <w:r>
              <w:rPr>
                <w:sz w:val="18"/>
                <w:u w:val="single"/>
              </w:rPr>
              <w:tab/>
              <w:t>possible</w:t>
            </w:r>
            <w:r>
              <w:rPr>
                <w:spacing w:val="-4"/>
                <w:sz w:val="18"/>
                <w:u w:val="single"/>
              </w:rPr>
              <w:t> </w:t>
            </w:r>
            <w:r>
              <w:rPr>
                <w:sz w:val="18"/>
                <w:u w:val="single"/>
              </w:rPr>
              <w:t>collaboration,</w:t>
            </w:r>
            <w:r>
              <w:rPr>
                <w:spacing w:val="-3"/>
                <w:sz w:val="18"/>
                <w:u w:val="single"/>
              </w:rPr>
              <w:t> </w:t>
            </w:r>
            <w:r>
              <w:rPr>
                <w:sz w:val="18"/>
                <w:u w:val="single"/>
              </w:rPr>
              <w:t>and</w:t>
            </w:r>
            <w:r>
              <w:rPr>
                <w:spacing w:val="-2"/>
                <w:sz w:val="18"/>
                <w:u w:val="single"/>
              </w:rPr>
              <w:t> </w:t>
            </w:r>
            <w:r>
              <w:rPr>
                <w:sz w:val="18"/>
                <w:u w:val="single"/>
              </w:rPr>
              <w:t>to</w:t>
            </w:r>
            <w:r>
              <w:rPr>
                <w:spacing w:val="-2"/>
                <w:sz w:val="18"/>
                <w:u w:val="single"/>
              </w:rPr>
              <w:t> </w:t>
            </w:r>
            <w:r>
              <w:rPr>
                <w:sz w:val="18"/>
                <w:u w:val="single"/>
              </w:rPr>
              <w:t>conceptualize</w:t>
            </w:r>
            <w:r>
              <w:rPr>
                <w:spacing w:val="-4"/>
                <w:sz w:val="18"/>
                <w:u w:val="single"/>
              </w:rPr>
              <w:t> work.</w:t>
            </w:r>
            <w:r>
              <w:rPr>
                <w:sz w:val="18"/>
                <w:u w:val="single"/>
              </w:rPr>
              <w:tab/>
            </w:r>
          </w:p>
        </w:tc>
      </w:tr>
      <w:tr>
        <w:trPr>
          <w:trHeight w:val="423" w:hRule="atLeast"/>
        </w:trPr>
        <w:tc>
          <w:tcPr>
            <w:tcW w:w="4441" w:type="dxa"/>
          </w:tcPr>
          <w:p>
            <w:pPr>
              <w:pStyle w:val="TableParagraph"/>
              <w:spacing w:line="207" w:lineRule="exact" w:before="2"/>
              <w:ind w:left="271"/>
              <w:rPr>
                <w:sz w:val="18"/>
              </w:rPr>
            </w:pPr>
            <w:r>
              <w:rPr>
                <w:sz w:val="18"/>
              </w:rPr>
              <w:t>Development</w:t>
            </w:r>
            <w:r>
              <w:rPr>
                <w:spacing w:val="53"/>
                <w:sz w:val="18"/>
              </w:rPr>
              <w:t> </w:t>
            </w:r>
            <w:r>
              <w:rPr>
                <w:sz w:val="18"/>
              </w:rPr>
              <w:t>of</w:t>
            </w:r>
            <w:r>
              <w:rPr>
                <w:spacing w:val="53"/>
                <w:sz w:val="18"/>
              </w:rPr>
              <w:t> </w:t>
            </w:r>
            <w:r>
              <w:rPr>
                <w:sz w:val="18"/>
              </w:rPr>
              <w:t>Memorandum</w:t>
            </w:r>
            <w:r>
              <w:rPr>
                <w:spacing w:val="52"/>
                <w:sz w:val="18"/>
              </w:rPr>
              <w:t> </w:t>
            </w:r>
            <w:r>
              <w:rPr>
                <w:sz w:val="18"/>
              </w:rPr>
              <w:t>of</w:t>
            </w:r>
            <w:r>
              <w:rPr>
                <w:spacing w:val="53"/>
                <w:sz w:val="18"/>
              </w:rPr>
              <w:t> </w:t>
            </w:r>
            <w:r>
              <w:rPr>
                <w:sz w:val="18"/>
              </w:rPr>
              <w:t>Understanding</w:t>
            </w:r>
            <w:r>
              <w:rPr>
                <w:spacing w:val="54"/>
                <w:sz w:val="18"/>
              </w:rPr>
              <w:t> </w:t>
            </w:r>
            <w:r>
              <w:rPr>
                <w:spacing w:val="-5"/>
                <w:sz w:val="18"/>
              </w:rPr>
              <w:t>for</w:t>
            </w:r>
          </w:p>
          <w:p>
            <w:pPr>
              <w:pStyle w:val="TableParagraph"/>
              <w:tabs>
                <w:tab w:pos="271" w:val="left" w:leader="none"/>
                <w:tab w:pos="4440" w:val="left" w:leader="none"/>
              </w:tabs>
              <w:spacing w:line="195" w:lineRule="exact"/>
              <w:ind w:left="0"/>
              <w:rPr>
                <w:sz w:val="18"/>
              </w:rPr>
            </w:pPr>
            <w:r>
              <w:rPr>
                <w:sz w:val="18"/>
                <w:u w:val="single"/>
              </w:rPr>
              <w:tab/>
              <w:t>project </w:t>
            </w:r>
            <w:r>
              <w:rPr>
                <w:spacing w:val="-2"/>
                <w:sz w:val="18"/>
                <w:u w:val="single"/>
              </w:rPr>
              <w:t>collaboration.</w:t>
            </w:r>
            <w:r>
              <w:rPr>
                <w:sz w:val="18"/>
                <w:u w:val="single"/>
              </w:rPr>
              <w:tab/>
            </w:r>
          </w:p>
        </w:tc>
      </w:tr>
      <w:tr>
        <w:trPr>
          <w:trHeight w:val="837" w:hRule="atLeast"/>
        </w:trPr>
        <w:tc>
          <w:tcPr>
            <w:tcW w:w="4441" w:type="dxa"/>
          </w:tcPr>
          <w:p>
            <w:pPr>
              <w:pStyle w:val="TableParagraph"/>
              <w:ind w:left="271" w:right="105"/>
              <w:jc w:val="both"/>
              <w:rPr>
                <w:sz w:val="18"/>
              </w:rPr>
            </w:pPr>
            <w:r>
              <w:rPr>
                <w:sz w:val="18"/>
              </w:rPr>
              <w:t>Development of research protocol, recruitment materials,</w:t>
            </w:r>
            <w:r>
              <w:rPr>
                <w:spacing w:val="-3"/>
                <w:sz w:val="18"/>
              </w:rPr>
              <w:t> </w:t>
            </w:r>
            <w:r>
              <w:rPr>
                <w:sz w:val="18"/>
              </w:rPr>
              <w:t>data</w:t>
            </w:r>
            <w:r>
              <w:rPr>
                <w:spacing w:val="-4"/>
                <w:sz w:val="18"/>
              </w:rPr>
              <w:t> </w:t>
            </w:r>
            <w:r>
              <w:rPr>
                <w:sz w:val="18"/>
              </w:rPr>
              <w:t>collection</w:t>
            </w:r>
            <w:r>
              <w:rPr>
                <w:spacing w:val="-3"/>
                <w:sz w:val="18"/>
              </w:rPr>
              <w:t> </w:t>
            </w:r>
            <w:r>
              <w:rPr>
                <w:sz w:val="18"/>
              </w:rPr>
              <w:t>instruments</w:t>
            </w:r>
            <w:r>
              <w:rPr>
                <w:spacing w:val="-4"/>
                <w:sz w:val="18"/>
              </w:rPr>
              <w:t> </w:t>
            </w:r>
            <w:r>
              <w:rPr>
                <w:sz w:val="18"/>
              </w:rPr>
              <w:t>for</w:t>
            </w:r>
            <w:r>
              <w:rPr>
                <w:spacing w:val="-4"/>
                <w:sz w:val="18"/>
              </w:rPr>
              <w:t> </w:t>
            </w:r>
            <w:r>
              <w:rPr>
                <w:sz w:val="18"/>
              </w:rPr>
              <w:t>interviews</w:t>
            </w:r>
            <w:r>
              <w:rPr>
                <w:spacing w:val="-4"/>
                <w:sz w:val="18"/>
              </w:rPr>
              <w:t> </w:t>
            </w:r>
            <w:r>
              <w:rPr>
                <w:sz w:val="18"/>
              </w:rPr>
              <w:t>and focus</w:t>
            </w:r>
            <w:r>
              <w:rPr>
                <w:spacing w:val="79"/>
                <w:sz w:val="18"/>
              </w:rPr>
              <w:t> </w:t>
            </w:r>
            <w:r>
              <w:rPr>
                <w:sz w:val="18"/>
              </w:rPr>
              <w:t>groups</w:t>
            </w:r>
            <w:r>
              <w:rPr>
                <w:spacing w:val="57"/>
                <w:w w:val="150"/>
                <w:sz w:val="18"/>
              </w:rPr>
              <w:t> </w:t>
            </w:r>
            <w:r>
              <w:rPr>
                <w:sz w:val="18"/>
              </w:rPr>
              <w:t>involving</w:t>
            </w:r>
            <w:r>
              <w:rPr>
                <w:spacing w:val="59"/>
                <w:w w:val="150"/>
                <w:sz w:val="18"/>
              </w:rPr>
              <w:t> </w:t>
            </w:r>
            <w:r>
              <w:rPr>
                <w:i/>
                <w:sz w:val="18"/>
              </w:rPr>
              <w:t>Målle'</w:t>
            </w:r>
            <w:r>
              <w:rPr>
                <w:i/>
                <w:spacing w:val="58"/>
                <w:w w:val="150"/>
                <w:sz w:val="18"/>
              </w:rPr>
              <w:t> </w:t>
            </w:r>
            <w:r>
              <w:rPr>
                <w:sz w:val="18"/>
              </w:rPr>
              <w:t>(patient</w:t>
            </w:r>
            <w:r>
              <w:rPr>
                <w:spacing w:val="79"/>
                <w:sz w:val="18"/>
              </w:rPr>
              <w:t> </w:t>
            </w:r>
            <w:r>
              <w:rPr>
                <w:spacing w:val="-2"/>
                <w:sz w:val="18"/>
              </w:rPr>
              <w:t>navigators),</w:t>
            </w:r>
          </w:p>
          <w:p>
            <w:pPr>
              <w:pStyle w:val="TableParagraph"/>
              <w:tabs>
                <w:tab w:pos="4440" w:val="left" w:leader="none"/>
              </w:tabs>
              <w:spacing w:line="195" w:lineRule="exact" w:before="1"/>
              <w:ind w:left="0"/>
              <w:jc w:val="both"/>
              <w:rPr>
                <w:sz w:val="18"/>
              </w:rPr>
            </w:pPr>
            <w:r>
              <w:rPr>
                <w:spacing w:val="65"/>
                <w:w w:val="150"/>
                <w:sz w:val="18"/>
                <w:u w:val="single"/>
              </w:rPr>
              <w:t>  </w:t>
            </w:r>
            <w:r>
              <w:rPr>
                <w:sz w:val="18"/>
                <w:u w:val="single"/>
              </w:rPr>
              <w:t>GCN</w:t>
            </w:r>
            <w:r>
              <w:rPr>
                <w:spacing w:val="-1"/>
                <w:sz w:val="18"/>
                <w:u w:val="single"/>
              </w:rPr>
              <w:t> </w:t>
            </w:r>
            <w:r>
              <w:rPr>
                <w:sz w:val="18"/>
                <w:u w:val="single"/>
              </w:rPr>
              <w:t>staff,</w:t>
            </w:r>
            <w:r>
              <w:rPr>
                <w:spacing w:val="-1"/>
                <w:sz w:val="18"/>
                <w:u w:val="single"/>
              </w:rPr>
              <w:t> </w:t>
            </w:r>
            <w:r>
              <w:rPr>
                <w:sz w:val="18"/>
                <w:u w:val="single"/>
              </w:rPr>
              <w:t>and Chamorro community</w:t>
            </w:r>
            <w:r>
              <w:rPr>
                <w:spacing w:val="-4"/>
                <w:sz w:val="18"/>
                <w:u w:val="single"/>
              </w:rPr>
              <w:t> </w:t>
            </w:r>
            <w:r>
              <w:rPr>
                <w:spacing w:val="-2"/>
                <w:sz w:val="18"/>
                <w:u w:val="single"/>
              </w:rPr>
              <w:t>leaders.</w:t>
            </w:r>
            <w:r>
              <w:rPr>
                <w:sz w:val="18"/>
                <w:u w:val="single"/>
              </w:rPr>
              <w:tab/>
            </w:r>
          </w:p>
        </w:tc>
      </w:tr>
      <w:tr>
        <w:trPr>
          <w:trHeight w:val="433" w:hRule="atLeast"/>
        </w:trPr>
        <w:tc>
          <w:tcPr>
            <w:tcW w:w="4441" w:type="dxa"/>
          </w:tcPr>
          <w:p>
            <w:pPr>
              <w:pStyle w:val="TableParagraph"/>
              <w:ind w:left="271"/>
              <w:rPr>
                <w:sz w:val="18"/>
              </w:rPr>
            </w:pPr>
            <w:r>
              <w:rPr>
                <w:sz w:val="18"/>
              </w:rPr>
              <w:t>Development,</w:t>
            </w:r>
            <w:r>
              <w:rPr>
                <w:spacing w:val="44"/>
                <w:sz w:val="18"/>
              </w:rPr>
              <w:t>  </w:t>
            </w:r>
            <w:r>
              <w:rPr>
                <w:sz w:val="18"/>
              </w:rPr>
              <w:t>submission</w:t>
            </w:r>
            <w:r>
              <w:rPr>
                <w:spacing w:val="43"/>
                <w:sz w:val="18"/>
              </w:rPr>
              <w:t>  </w:t>
            </w:r>
            <w:r>
              <w:rPr>
                <w:sz w:val="18"/>
              </w:rPr>
              <w:t>and</w:t>
            </w:r>
            <w:r>
              <w:rPr>
                <w:spacing w:val="44"/>
                <w:sz w:val="18"/>
              </w:rPr>
              <w:t>  </w:t>
            </w:r>
            <w:r>
              <w:rPr>
                <w:sz w:val="18"/>
              </w:rPr>
              <w:t>approval</w:t>
            </w:r>
            <w:r>
              <w:rPr>
                <w:spacing w:val="43"/>
                <w:sz w:val="18"/>
              </w:rPr>
              <w:t>  </w:t>
            </w:r>
            <w:r>
              <w:rPr>
                <w:sz w:val="18"/>
              </w:rPr>
              <w:t>of</w:t>
            </w:r>
            <w:r>
              <w:rPr>
                <w:spacing w:val="43"/>
                <w:sz w:val="18"/>
              </w:rPr>
              <w:t>  </w:t>
            </w:r>
            <w:r>
              <w:rPr>
                <w:spacing w:val="-5"/>
                <w:sz w:val="18"/>
              </w:rPr>
              <w:t>IRB</w:t>
            </w:r>
          </w:p>
          <w:p>
            <w:pPr>
              <w:pStyle w:val="TableParagraph"/>
              <w:tabs>
                <w:tab w:pos="271" w:val="left" w:leader="none"/>
                <w:tab w:pos="4440" w:val="left" w:leader="none"/>
              </w:tabs>
              <w:spacing w:line="204" w:lineRule="exact" w:before="2"/>
              <w:ind w:left="0"/>
              <w:rPr>
                <w:sz w:val="18"/>
              </w:rPr>
            </w:pPr>
            <w:r>
              <w:rPr>
                <w:sz w:val="18"/>
                <w:u w:val="single"/>
              </w:rPr>
              <w:tab/>
              <w:t>protocols</w:t>
            </w:r>
            <w:r>
              <w:rPr>
                <w:spacing w:val="-5"/>
                <w:sz w:val="18"/>
                <w:u w:val="single"/>
              </w:rPr>
              <w:t> </w:t>
            </w:r>
            <w:r>
              <w:rPr>
                <w:sz w:val="18"/>
                <w:u w:val="single"/>
              </w:rPr>
              <w:t>under</w:t>
            </w:r>
            <w:r>
              <w:rPr>
                <w:spacing w:val="-2"/>
                <w:sz w:val="18"/>
                <w:u w:val="single"/>
              </w:rPr>
              <w:t> </w:t>
            </w:r>
            <w:r>
              <w:rPr>
                <w:sz w:val="18"/>
                <w:u w:val="single"/>
              </w:rPr>
              <w:t>both</w:t>
            </w:r>
            <w:r>
              <w:rPr>
                <w:spacing w:val="-2"/>
                <w:sz w:val="18"/>
                <w:u w:val="single"/>
              </w:rPr>
              <w:t> </w:t>
            </w:r>
            <w:r>
              <w:rPr>
                <w:sz w:val="18"/>
                <w:u w:val="single"/>
              </w:rPr>
              <w:t>university</w:t>
            </w:r>
            <w:r>
              <w:rPr>
                <w:spacing w:val="-4"/>
                <w:sz w:val="18"/>
                <w:u w:val="single"/>
              </w:rPr>
              <w:t> </w:t>
            </w:r>
            <w:r>
              <w:rPr>
                <w:sz w:val="18"/>
                <w:u w:val="single"/>
              </w:rPr>
              <w:t>and</w:t>
            </w:r>
            <w:r>
              <w:rPr>
                <w:spacing w:val="-1"/>
                <w:sz w:val="18"/>
                <w:u w:val="single"/>
              </w:rPr>
              <w:t> </w:t>
            </w:r>
            <w:r>
              <w:rPr>
                <w:sz w:val="18"/>
                <w:u w:val="single"/>
              </w:rPr>
              <w:t>community</w:t>
            </w:r>
            <w:r>
              <w:rPr>
                <w:spacing w:val="-4"/>
                <w:sz w:val="18"/>
                <w:u w:val="single"/>
              </w:rPr>
              <w:t> </w:t>
            </w:r>
            <w:r>
              <w:rPr>
                <w:spacing w:val="-2"/>
                <w:sz w:val="18"/>
                <w:u w:val="single"/>
              </w:rPr>
              <w:t>IRBs.</w:t>
            </w:r>
            <w:r>
              <w:rPr>
                <w:sz w:val="18"/>
                <w:u w:val="single"/>
              </w:rPr>
              <w:tab/>
            </w:r>
          </w:p>
        </w:tc>
      </w:tr>
      <w:tr>
        <w:trPr>
          <w:trHeight w:val="227" w:hRule="atLeast"/>
        </w:trPr>
        <w:tc>
          <w:tcPr>
            <w:tcW w:w="4441" w:type="dxa"/>
            <w:tcBorders>
              <w:bottom w:val="single" w:sz="4" w:space="0" w:color="000000"/>
            </w:tcBorders>
          </w:tcPr>
          <w:p>
            <w:pPr>
              <w:pStyle w:val="TableParagraph"/>
              <w:spacing w:line="198" w:lineRule="exact" w:before="9"/>
              <w:ind w:left="108"/>
              <w:rPr>
                <w:b/>
                <w:sz w:val="18"/>
              </w:rPr>
            </w:pPr>
            <w:r>
              <w:rPr>
                <w:b/>
                <w:sz w:val="18"/>
              </w:rPr>
              <w:t>In</w:t>
            </w:r>
            <w:r>
              <w:rPr>
                <w:b/>
                <w:spacing w:val="-2"/>
                <w:sz w:val="18"/>
              </w:rPr>
              <w:t> Progress</w:t>
            </w:r>
          </w:p>
        </w:tc>
      </w:tr>
      <w:tr>
        <w:trPr>
          <w:trHeight w:val="830" w:hRule="atLeast"/>
        </w:trPr>
        <w:tc>
          <w:tcPr>
            <w:tcW w:w="4441" w:type="dxa"/>
            <w:tcBorders>
              <w:top w:val="single" w:sz="4" w:space="0" w:color="000000"/>
              <w:bottom w:val="single" w:sz="4" w:space="0" w:color="000000"/>
            </w:tcBorders>
          </w:tcPr>
          <w:p>
            <w:pPr>
              <w:pStyle w:val="TableParagraph"/>
              <w:spacing w:line="206" w:lineRule="exact"/>
              <w:ind w:left="271" w:right="105"/>
              <w:jc w:val="both"/>
              <w:rPr>
                <w:sz w:val="18"/>
              </w:rPr>
            </w:pPr>
            <w:r>
              <w:rPr>
                <w:sz w:val="18"/>
              </w:rPr>
              <w:t>Recruitment,</w:t>
            </w:r>
            <w:r>
              <w:rPr>
                <w:spacing w:val="-4"/>
                <w:sz w:val="18"/>
              </w:rPr>
              <w:t> </w:t>
            </w:r>
            <w:r>
              <w:rPr>
                <w:sz w:val="18"/>
              </w:rPr>
              <w:t>scheduling,</w:t>
            </w:r>
            <w:r>
              <w:rPr>
                <w:spacing w:val="-5"/>
                <w:sz w:val="18"/>
              </w:rPr>
              <w:t> </w:t>
            </w:r>
            <w:r>
              <w:rPr>
                <w:sz w:val="18"/>
              </w:rPr>
              <w:t>and</w:t>
            </w:r>
            <w:r>
              <w:rPr>
                <w:spacing w:val="-4"/>
                <w:sz w:val="18"/>
              </w:rPr>
              <w:t> </w:t>
            </w:r>
            <w:r>
              <w:rPr>
                <w:sz w:val="18"/>
              </w:rPr>
              <w:t>conduct</w:t>
            </w:r>
            <w:r>
              <w:rPr>
                <w:spacing w:val="-5"/>
                <w:sz w:val="18"/>
              </w:rPr>
              <w:t> </w:t>
            </w:r>
            <w:r>
              <w:rPr>
                <w:sz w:val="18"/>
              </w:rPr>
              <w:t>of</w:t>
            </w:r>
            <w:r>
              <w:rPr>
                <w:spacing w:val="-7"/>
                <w:sz w:val="18"/>
              </w:rPr>
              <w:t> </w:t>
            </w:r>
            <w:r>
              <w:rPr>
                <w:sz w:val="18"/>
              </w:rPr>
              <w:t>in-depth,</w:t>
            </w:r>
            <w:r>
              <w:rPr>
                <w:spacing w:val="-5"/>
                <w:sz w:val="18"/>
              </w:rPr>
              <w:t> </w:t>
            </w:r>
            <w:r>
              <w:rPr>
                <w:sz w:val="18"/>
              </w:rPr>
              <w:t>semi- structured interviews with GCN staff and </w:t>
            </w:r>
            <w:r>
              <w:rPr>
                <w:i/>
                <w:sz w:val="18"/>
              </w:rPr>
              <w:t>Målle'</w:t>
            </w:r>
            <w:r>
              <w:rPr>
                <w:i/>
                <w:spacing w:val="40"/>
                <w:sz w:val="18"/>
              </w:rPr>
              <w:t> </w:t>
            </w:r>
            <w:r>
              <w:rPr>
                <w:sz w:val="18"/>
              </w:rPr>
              <w:t>(patient navigators). Direct observation of </w:t>
            </w:r>
            <w:r>
              <w:rPr>
                <w:i/>
                <w:sz w:val="18"/>
              </w:rPr>
              <w:t>Målle' </w:t>
            </w:r>
            <w:r>
              <w:rPr>
                <w:sz w:val="18"/>
              </w:rPr>
              <w:t>to document key activities and roles</w:t>
            </w:r>
          </w:p>
        </w:tc>
      </w:tr>
      <w:tr>
        <w:trPr>
          <w:trHeight w:val="215" w:hRule="atLeast"/>
        </w:trPr>
        <w:tc>
          <w:tcPr>
            <w:tcW w:w="4441" w:type="dxa"/>
            <w:tcBorders>
              <w:top w:val="single" w:sz="4" w:space="0" w:color="000000"/>
            </w:tcBorders>
          </w:tcPr>
          <w:p>
            <w:pPr>
              <w:pStyle w:val="TableParagraph"/>
              <w:tabs>
                <w:tab w:pos="271" w:val="left" w:leader="none"/>
                <w:tab w:pos="4440" w:val="left" w:leader="none"/>
              </w:tabs>
              <w:spacing w:line="195" w:lineRule="exact"/>
              <w:ind w:left="0"/>
              <w:rPr>
                <w:sz w:val="18"/>
              </w:rPr>
            </w:pPr>
            <w:r>
              <w:rPr>
                <w:sz w:val="18"/>
                <w:u w:val="single"/>
              </w:rPr>
              <w:tab/>
              <w:t>Focus</w:t>
            </w:r>
            <w:r>
              <w:rPr>
                <w:spacing w:val="-5"/>
                <w:sz w:val="18"/>
                <w:u w:val="single"/>
              </w:rPr>
              <w:t> </w:t>
            </w:r>
            <w:r>
              <w:rPr>
                <w:sz w:val="18"/>
                <w:u w:val="single"/>
              </w:rPr>
              <w:t>groups</w:t>
            </w:r>
            <w:r>
              <w:rPr>
                <w:spacing w:val="-2"/>
                <w:sz w:val="18"/>
                <w:u w:val="single"/>
              </w:rPr>
              <w:t> </w:t>
            </w:r>
            <w:r>
              <w:rPr>
                <w:sz w:val="18"/>
                <w:u w:val="single"/>
              </w:rPr>
              <w:t>with</w:t>
            </w:r>
            <w:r>
              <w:rPr>
                <w:spacing w:val="-1"/>
                <w:sz w:val="18"/>
                <w:u w:val="single"/>
              </w:rPr>
              <w:t> </w:t>
            </w:r>
            <w:r>
              <w:rPr>
                <w:sz w:val="18"/>
                <w:u w:val="single"/>
              </w:rPr>
              <w:t>community</w:t>
            </w:r>
            <w:r>
              <w:rPr>
                <w:spacing w:val="-5"/>
                <w:sz w:val="18"/>
                <w:u w:val="single"/>
              </w:rPr>
              <w:t> </w:t>
            </w:r>
            <w:r>
              <w:rPr>
                <w:spacing w:val="-2"/>
                <w:sz w:val="18"/>
                <w:u w:val="single"/>
              </w:rPr>
              <w:t>leaders.</w:t>
            </w:r>
            <w:r>
              <w:rPr>
                <w:sz w:val="18"/>
                <w:u w:val="single"/>
              </w:rPr>
              <w:tab/>
            </w:r>
          </w:p>
        </w:tc>
      </w:tr>
      <w:tr>
        <w:trPr>
          <w:trHeight w:val="633" w:hRule="atLeast"/>
        </w:trPr>
        <w:tc>
          <w:tcPr>
            <w:tcW w:w="4441" w:type="dxa"/>
          </w:tcPr>
          <w:p>
            <w:pPr>
              <w:pStyle w:val="TableParagraph"/>
              <w:spacing w:before="3"/>
              <w:ind w:left="271"/>
              <w:rPr>
                <w:sz w:val="18"/>
              </w:rPr>
            </w:pPr>
            <w:r>
              <w:rPr>
                <w:sz w:val="18"/>
              </w:rPr>
              <w:t>Further development of question guide and recruitment strategy</w:t>
            </w:r>
            <w:r>
              <w:rPr>
                <w:spacing w:val="25"/>
                <w:sz w:val="18"/>
              </w:rPr>
              <w:t> </w:t>
            </w:r>
            <w:r>
              <w:rPr>
                <w:sz w:val="18"/>
              </w:rPr>
              <w:t>for</w:t>
            </w:r>
            <w:r>
              <w:rPr>
                <w:spacing w:val="27"/>
                <w:sz w:val="18"/>
              </w:rPr>
              <w:t> </w:t>
            </w:r>
            <w:r>
              <w:rPr>
                <w:sz w:val="18"/>
              </w:rPr>
              <w:t>focus</w:t>
            </w:r>
            <w:r>
              <w:rPr>
                <w:spacing w:val="26"/>
                <w:sz w:val="18"/>
              </w:rPr>
              <w:t> </w:t>
            </w:r>
            <w:r>
              <w:rPr>
                <w:sz w:val="18"/>
              </w:rPr>
              <w:t>groups</w:t>
            </w:r>
            <w:r>
              <w:rPr>
                <w:spacing w:val="25"/>
                <w:sz w:val="18"/>
              </w:rPr>
              <w:t> </w:t>
            </w:r>
            <w:r>
              <w:rPr>
                <w:sz w:val="18"/>
              </w:rPr>
              <w:t>with</w:t>
            </w:r>
            <w:r>
              <w:rPr>
                <w:spacing w:val="25"/>
                <w:sz w:val="18"/>
              </w:rPr>
              <w:t> </w:t>
            </w:r>
            <w:r>
              <w:rPr>
                <w:sz w:val="18"/>
              </w:rPr>
              <w:t>Chamorro</w:t>
            </w:r>
            <w:r>
              <w:rPr>
                <w:spacing w:val="28"/>
                <w:sz w:val="18"/>
              </w:rPr>
              <w:t> </w:t>
            </w:r>
            <w:r>
              <w:rPr>
                <w:sz w:val="18"/>
              </w:rPr>
              <w:t>women</w:t>
            </w:r>
            <w:r>
              <w:rPr>
                <w:spacing w:val="28"/>
                <w:sz w:val="18"/>
              </w:rPr>
              <w:t> </w:t>
            </w:r>
            <w:r>
              <w:rPr>
                <w:spacing w:val="-5"/>
                <w:sz w:val="18"/>
              </w:rPr>
              <w:t>who</w:t>
            </w:r>
          </w:p>
          <w:p>
            <w:pPr>
              <w:pStyle w:val="TableParagraph"/>
              <w:tabs>
                <w:tab w:pos="271" w:val="left" w:leader="none"/>
                <w:tab w:pos="4440" w:val="left" w:leader="none"/>
              </w:tabs>
              <w:spacing w:line="195" w:lineRule="exact" w:before="1"/>
              <w:ind w:left="0"/>
              <w:rPr>
                <w:sz w:val="18"/>
              </w:rPr>
            </w:pPr>
            <w:r>
              <w:rPr>
                <w:sz w:val="18"/>
                <w:u w:val="single"/>
              </w:rPr>
              <w:tab/>
              <w:t>have</w:t>
            </w:r>
            <w:r>
              <w:rPr>
                <w:spacing w:val="-3"/>
                <w:sz w:val="18"/>
                <w:u w:val="single"/>
              </w:rPr>
              <w:t> </w:t>
            </w:r>
            <w:r>
              <w:rPr>
                <w:sz w:val="18"/>
                <w:u w:val="single"/>
              </w:rPr>
              <w:t>and have</w:t>
            </w:r>
            <w:r>
              <w:rPr>
                <w:spacing w:val="-2"/>
                <w:sz w:val="18"/>
                <w:u w:val="single"/>
              </w:rPr>
              <w:t> </w:t>
            </w:r>
            <w:r>
              <w:rPr>
                <w:sz w:val="18"/>
                <w:u w:val="single"/>
              </w:rPr>
              <w:t>not</w:t>
            </w:r>
            <w:r>
              <w:rPr>
                <w:spacing w:val="-4"/>
                <w:sz w:val="18"/>
                <w:u w:val="single"/>
              </w:rPr>
              <w:t> </w:t>
            </w:r>
            <w:r>
              <w:rPr>
                <w:sz w:val="18"/>
                <w:u w:val="single"/>
              </w:rPr>
              <w:t>used</w:t>
            </w:r>
            <w:r>
              <w:rPr>
                <w:spacing w:val="2"/>
                <w:sz w:val="18"/>
                <w:u w:val="single"/>
              </w:rPr>
              <w:t> </w:t>
            </w:r>
            <w:r>
              <w:rPr>
                <w:i/>
                <w:sz w:val="18"/>
                <w:u w:val="single"/>
              </w:rPr>
              <w:t>Målle' </w:t>
            </w:r>
            <w:r>
              <w:rPr>
                <w:spacing w:val="-2"/>
                <w:sz w:val="18"/>
                <w:u w:val="single"/>
              </w:rPr>
              <w:t>program.</w:t>
            </w:r>
            <w:r>
              <w:rPr>
                <w:sz w:val="18"/>
                <w:u w:val="single"/>
              </w:rPr>
              <w:tab/>
            </w:r>
          </w:p>
        </w:tc>
      </w:tr>
      <w:tr>
        <w:trPr>
          <w:trHeight w:val="425" w:hRule="atLeast"/>
        </w:trPr>
        <w:tc>
          <w:tcPr>
            <w:tcW w:w="4441" w:type="dxa"/>
          </w:tcPr>
          <w:p>
            <w:pPr>
              <w:pStyle w:val="TableParagraph"/>
              <w:ind w:left="271"/>
              <w:rPr>
                <w:sz w:val="18"/>
              </w:rPr>
            </w:pPr>
            <w:r>
              <w:rPr>
                <w:sz w:val="18"/>
              </w:rPr>
              <w:t>Recruitment</w:t>
            </w:r>
            <w:r>
              <w:rPr>
                <w:spacing w:val="37"/>
                <w:sz w:val="18"/>
              </w:rPr>
              <w:t>  </w:t>
            </w:r>
            <w:r>
              <w:rPr>
                <w:sz w:val="18"/>
              </w:rPr>
              <w:t>and</w:t>
            </w:r>
            <w:r>
              <w:rPr>
                <w:spacing w:val="37"/>
                <w:sz w:val="18"/>
              </w:rPr>
              <w:t>  </w:t>
            </w:r>
            <w:r>
              <w:rPr>
                <w:sz w:val="18"/>
              </w:rPr>
              <w:t>conduct</w:t>
            </w:r>
            <w:r>
              <w:rPr>
                <w:spacing w:val="37"/>
                <w:sz w:val="18"/>
              </w:rPr>
              <w:t>  </w:t>
            </w:r>
            <w:r>
              <w:rPr>
                <w:sz w:val="18"/>
              </w:rPr>
              <w:t>of</w:t>
            </w:r>
            <w:r>
              <w:rPr>
                <w:spacing w:val="36"/>
                <w:sz w:val="18"/>
              </w:rPr>
              <w:t>  </w:t>
            </w:r>
            <w:r>
              <w:rPr>
                <w:sz w:val="18"/>
              </w:rPr>
              <w:t>focus</w:t>
            </w:r>
            <w:r>
              <w:rPr>
                <w:spacing w:val="37"/>
                <w:sz w:val="18"/>
              </w:rPr>
              <w:t>  </w:t>
            </w:r>
            <w:r>
              <w:rPr>
                <w:sz w:val="18"/>
              </w:rPr>
              <w:t>groups</w:t>
            </w:r>
            <w:r>
              <w:rPr>
                <w:spacing w:val="37"/>
                <w:sz w:val="18"/>
              </w:rPr>
              <w:t>  </w:t>
            </w:r>
            <w:r>
              <w:rPr>
                <w:spacing w:val="-4"/>
                <w:sz w:val="18"/>
              </w:rPr>
              <w:t>with</w:t>
            </w:r>
          </w:p>
          <w:p>
            <w:pPr>
              <w:pStyle w:val="TableParagraph"/>
              <w:tabs>
                <w:tab w:pos="271" w:val="left" w:leader="none"/>
                <w:tab w:pos="4440" w:val="left" w:leader="none"/>
              </w:tabs>
              <w:spacing w:line="196" w:lineRule="exact" w:before="2"/>
              <w:ind w:left="0"/>
              <w:rPr>
                <w:sz w:val="18"/>
              </w:rPr>
            </w:pPr>
            <w:r>
              <w:rPr>
                <w:sz w:val="18"/>
                <w:u w:val="single"/>
              </w:rPr>
              <w:tab/>
              <w:t>Chamorro</w:t>
            </w:r>
            <w:r>
              <w:rPr>
                <w:spacing w:val="-3"/>
                <w:sz w:val="18"/>
                <w:u w:val="single"/>
              </w:rPr>
              <w:t> </w:t>
            </w:r>
            <w:r>
              <w:rPr>
                <w:spacing w:val="-2"/>
                <w:sz w:val="18"/>
                <w:u w:val="single"/>
              </w:rPr>
              <w:t>women.</w:t>
            </w:r>
            <w:r>
              <w:rPr>
                <w:sz w:val="18"/>
                <w:u w:val="single"/>
              </w:rPr>
              <w:tab/>
            </w:r>
          </w:p>
        </w:tc>
      </w:tr>
      <w:tr>
        <w:trPr>
          <w:trHeight w:val="423" w:hRule="atLeast"/>
        </w:trPr>
        <w:tc>
          <w:tcPr>
            <w:tcW w:w="4441" w:type="dxa"/>
          </w:tcPr>
          <w:p>
            <w:pPr>
              <w:pStyle w:val="TableParagraph"/>
              <w:spacing w:line="207" w:lineRule="exact" w:before="1"/>
              <w:ind w:left="271"/>
              <w:rPr>
                <w:sz w:val="18"/>
              </w:rPr>
            </w:pPr>
            <w:r>
              <w:rPr>
                <w:sz w:val="18"/>
              </w:rPr>
              <w:t>Continued</w:t>
            </w:r>
            <w:r>
              <w:rPr>
                <w:spacing w:val="50"/>
                <w:sz w:val="18"/>
              </w:rPr>
              <w:t> </w:t>
            </w:r>
            <w:r>
              <w:rPr>
                <w:sz w:val="18"/>
              </w:rPr>
              <w:t>development/refinement</w:t>
            </w:r>
            <w:r>
              <w:rPr>
                <w:spacing w:val="51"/>
                <w:sz w:val="18"/>
              </w:rPr>
              <w:t> </w:t>
            </w:r>
            <w:r>
              <w:rPr>
                <w:sz w:val="18"/>
              </w:rPr>
              <w:t>of</w:t>
            </w:r>
            <w:r>
              <w:rPr>
                <w:spacing w:val="48"/>
                <w:sz w:val="18"/>
              </w:rPr>
              <w:t> </w:t>
            </w:r>
            <w:r>
              <w:rPr>
                <w:sz w:val="18"/>
              </w:rPr>
              <w:t>data</w:t>
            </w:r>
            <w:r>
              <w:rPr>
                <w:spacing w:val="51"/>
                <w:sz w:val="18"/>
              </w:rPr>
              <w:t> </w:t>
            </w:r>
            <w:r>
              <w:rPr>
                <w:spacing w:val="-2"/>
                <w:sz w:val="18"/>
              </w:rPr>
              <w:t>collection</w:t>
            </w:r>
          </w:p>
          <w:p>
            <w:pPr>
              <w:pStyle w:val="TableParagraph"/>
              <w:tabs>
                <w:tab w:pos="271" w:val="left" w:leader="none"/>
                <w:tab w:pos="4440" w:val="left" w:leader="none"/>
              </w:tabs>
              <w:spacing w:line="196" w:lineRule="exact"/>
              <w:ind w:left="0"/>
              <w:rPr>
                <w:sz w:val="18"/>
              </w:rPr>
            </w:pPr>
            <w:r>
              <w:rPr>
                <w:sz w:val="18"/>
                <w:u w:val="single"/>
              </w:rPr>
              <w:tab/>
              <w:t>instruments</w:t>
            </w:r>
            <w:r>
              <w:rPr>
                <w:spacing w:val="-2"/>
                <w:sz w:val="18"/>
                <w:u w:val="single"/>
              </w:rPr>
              <w:t> </w:t>
            </w:r>
            <w:r>
              <w:rPr>
                <w:sz w:val="18"/>
                <w:u w:val="single"/>
              </w:rPr>
              <w:t>for</w:t>
            </w:r>
            <w:r>
              <w:rPr>
                <w:spacing w:val="-2"/>
                <w:sz w:val="18"/>
                <w:u w:val="single"/>
              </w:rPr>
              <w:t> </w:t>
            </w:r>
            <w:r>
              <w:rPr>
                <w:sz w:val="18"/>
                <w:u w:val="single"/>
              </w:rPr>
              <w:t>providers</w:t>
            </w:r>
            <w:r>
              <w:rPr>
                <w:spacing w:val="-2"/>
                <w:sz w:val="18"/>
                <w:u w:val="single"/>
              </w:rPr>
              <w:t> </w:t>
            </w:r>
            <w:r>
              <w:rPr>
                <w:sz w:val="18"/>
                <w:u w:val="single"/>
              </w:rPr>
              <w:t>of</w:t>
            </w:r>
            <w:r>
              <w:rPr>
                <w:spacing w:val="-3"/>
                <w:sz w:val="18"/>
                <w:u w:val="single"/>
              </w:rPr>
              <w:t> </w:t>
            </w:r>
            <w:r>
              <w:rPr>
                <w:sz w:val="18"/>
                <w:u w:val="single"/>
              </w:rPr>
              <w:t>breast</w:t>
            </w:r>
            <w:r>
              <w:rPr>
                <w:spacing w:val="-2"/>
                <w:sz w:val="18"/>
                <w:u w:val="single"/>
              </w:rPr>
              <w:t> </w:t>
            </w:r>
            <w:r>
              <w:rPr>
                <w:sz w:val="18"/>
                <w:u w:val="single"/>
              </w:rPr>
              <w:t>cancer</w:t>
            </w:r>
            <w:r>
              <w:rPr>
                <w:spacing w:val="-1"/>
                <w:sz w:val="18"/>
                <w:u w:val="single"/>
              </w:rPr>
              <w:t> </w:t>
            </w:r>
            <w:r>
              <w:rPr>
                <w:spacing w:val="-2"/>
                <w:sz w:val="18"/>
                <w:u w:val="single"/>
              </w:rPr>
              <w:t>services.</w:t>
            </w:r>
            <w:r>
              <w:rPr>
                <w:sz w:val="18"/>
                <w:u w:val="single"/>
              </w:rPr>
              <w:tab/>
            </w:r>
          </w:p>
        </w:tc>
      </w:tr>
      <w:tr>
        <w:trPr>
          <w:trHeight w:val="429" w:hRule="atLeast"/>
        </w:trPr>
        <w:tc>
          <w:tcPr>
            <w:tcW w:w="4441" w:type="dxa"/>
          </w:tcPr>
          <w:p>
            <w:pPr>
              <w:pStyle w:val="TableParagraph"/>
              <w:spacing w:line="207" w:lineRule="exact" w:before="2"/>
              <w:ind w:left="271"/>
              <w:rPr>
                <w:sz w:val="18"/>
              </w:rPr>
            </w:pPr>
            <w:r>
              <w:rPr>
                <w:sz w:val="18"/>
              </w:rPr>
              <w:t>Recruitment</w:t>
            </w:r>
            <w:r>
              <w:rPr>
                <w:spacing w:val="51"/>
                <w:sz w:val="18"/>
              </w:rPr>
              <w:t>  </w:t>
            </w:r>
            <w:r>
              <w:rPr>
                <w:sz w:val="18"/>
              </w:rPr>
              <w:t>of</w:t>
            </w:r>
            <w:r>
              <w:rPr>
                <w:spacing w:val="50"/>
                <w:sz w:val="18"/>
              </w:rPr>
              <w:t>  </w:t>
            </w:r>
            <w:r>
              <w:rPr>
                <w:sz w:val="18"/>
              </w:rPr>
              <w:t>providers,</w:t>
            </w:r>
            <w:r>
              <w:rPr>
                <w:spacing w:val="52"/>
                <w:sz w:val="18"/>
              </w:rPr>
              <w:t>  </w:t>
            </w:r>
            <w:r>
              <w:rPr>
                <w:sz w:val="18"/>
              </w:rPr>
              <w:t>conduct</w:t>
            </w:r>
            <w:r>
              <w:rPr>
                <w:spacing w:val="50"/>
                <w:sz w:val="18"/>
              </w:rPr>
              <w:t>  </w:t>
            </w:r>
            <w:r>
              <w:rPr>
                <w:sz w:val="18"/>
              </w:rPr>
              <w:t>of</w:t>
            </w:r>
            <w:r>
              <w:rPr>
                <w:spacing w:val="51"/>
                <w:sz w:val="18"/>
              </w:rPr>
              <w:t>  </w:t>
            </w:r>
            <w:r>
              <w:rPr>
                <w:spacing w:val="-2"/>
                <w:sz w:val="18"/>
              </w:rPr>
              <w:t>provider</w:t>
            </w:r>
          </w:p>
          <w:p>
            <w:pPr>
              <w:pStyle w:val="TableParagraph"/>
              <w:tabs>
                <w:tab w:pos="271" w:val="left" w:leader="none"/>
                <w:tab w:pos="4440" w:val="left" w:leader="none"/>
              </w:tabs>
              <w:spacing w:line="201" w:lineRule="exact"/>
              <w:ind w:left="0"/>
              <w:rPr>
                <w:sz w:val="18"/>
              </w:rPr>
            </w:pPr>
            <w:r>
              <w:rPr>
                <w:sz w:val="18"/>
                <w:u w:val="single"/>
              </w:rPr>
              <w:tab/>
            </w:r>
            <w:r>
              <w:rPr>
                <w:spacing w:val="-2"/>
                <w:sz w:val="18"/>
                <w:u w:val="single"/>
              </w:rPr>
              <w:t>interviews.</w:t>
            </w:r>
            <w:r>
              <w:rPr>
                <w:sz w:val="18"/>
                <w:u w:val="single"/>
              </w:rPr>
              <w:tab/>
            </w:r>
          </w:p>
        </w:tc>
      </w:tr>
      <w:tr>
        <w:trPr>
          <w:trHeight w:val="232" w:hRule="atLeast"/>
        </w:trPr>
        <w:tc>
          <w:tcPr>
            <w:tcW w:w="4441" w:type="dxa"/>
            <w:tcBorders>
              <w:bottom w:val="single" w:sz="4" w:space="0" w:color="000000"/>
            </w:tcBorders>
          </w:tcPr>
          <w:p>
            <w:pPr>
              <w:pStyle w:val="TableParagraph"/>
              <w:spacing w:line="205" w:lineRule="exact" w:before="6"/>
              <w:ind w:left="271"/>
              <w:rPr>
                <w:sz w:val="18"/>
              </w:rPr>
            </w:pPr>
            <w:r>
              <w:rPr>
                <w:sz w:val="18"/>
              </w:rPr>
              <w:t>Conduct</w:t>
            </w:r>
            <w:r>
              <w:rPr>
                <w:spacing w:val="-3"/>
                <w:sz w:val="18"/>
              </w:rPr>
              <w:t> </w:t>
            </w:r>
            <w:r>
              <w:rPr>
                <w:sz w:val="18"/>
              </w:rPr>
              <w:t>of</w:t>
            </w:r>
            <w:r>
              <w:rPr>
                <w:spacing w:val="-3"/>
                <w:sz w:val="18"/>
              </w:rPr>
              <w:t> </w:t>
            </w:r>
            <w:r>
              <w:rPr>
                <w:sz w:val="18"/>
              </w:rPr>
              <w:t>qualitative</w:t>
            </w:r>
            <w:r>
              <w:rPr>
                <w:spacing w:val="-2"/>
                <w:sz w:val="18"/>
              </w:rPr>
              <w:t> </w:t>
            </w:r>
            <w:r>
              <w:rPr>
                <w:sz w:val="18"/>
              </w:rPr>
              <w:t>analyses</w:t>
            </w:r>
            <w:r>
              <w:rPr>
                <w:spacing w:val="-1"/>
                <w:sz w:val="18"/>
              </w:rPr>
              <w:t> </w:t>
            </w:r>
            <w:r>
              <w:rPr>
                <w:sz w:val="18"/>
              </w:rPr>
              <w:t>involving</w:t>
            </w:r>
            <w:r>
              <w:rPr>
                <w:spacing w:val="-2"/>
                <w:sz w:val="18"/>
              </w:rPr>
              <w:t> </w:t>
            </w:r>
            <w:r>
              <w:rPr>
                <w:sz w:val="18"/>
              </w:rPr>
              <w:t>all </w:t>
            </w:r>
            <w:r>
              <w:rPr>
                <w:spacing w:val="-2"/>
                <w:sz w:val="18"/>
              </w:rPr>
              <w:t>partners.</w:t>
            </w:r>
          </w:p>
        </w:tc>
      </w:tr>
      <w:tr>
        <w:trPr>
          <w:trHeight w:val="230" w:hRule="atLeast"/>
        </w:trPr>
        <w:tc>
          <w:tcPr>
            <w:tcW w:w="4441" w:type="dxa"/>
            <w:tcBorders>
              <w:top w:val="single" w:sz="4" w:space="0" w:color="000000"/>
              <w:bottom w:val="single" w:sz="4" w:space="0" w:color="000000"/>
            </w:tcBorders>
          </w:tcPr>
          <w:p>
            <w:pPr>
              <w:pStyle w:val="TableParagraph"/>
              <w:spacing w:line="203" w:lineRule="exact" w:before="7"/>
              <w:ind w:left="271"/>
              <w:rPr>
                <w:sz w:val="18"/>
              </w:rPr>
            </w:pPr>
            <w:r>
              <w:rPr>
                <w:sz w:val="18"/>
              </w:rPr>
              <w:t>Development</w:t>
            </w:r>
            <w:r>
              <w:rPr>
                <w:spacing w:val="-2"/>
                <w:sz w:val="18"/>
              </w:rPr>
              <w:t> </w:t>
            </w:r>
            <w:r>
              <w:rPr>
                <w:sz w:val="18"/>
              </w:rPr>
              <w:t>of</w:t>
            </w:r>
            <w:r>
              <w:rPr>
                <w:spacing w:val="-3"/>
                <w:sz w:val="18"/>
              </w:rPr>
              <w:t> </w:t>
            </w:r>
            <w:r>
              <w:rPr>
                <w:sz w:val="18"/>
              </w:rPr>
              <w:t>summary</w:t>
            </w:r>
            <w:r>
              <w:rPr>
                <w:spacing w:val="-5"/>
                <w:sz w:val="18"/>
              </w:rPr>
              <w:t> </w:t>
            </w:r>
            <w:r>
              <w:rPr>
                <w:spacing w:val="-2"/>
                <w:sz w:val="18"/>
              </w:rPr>
              <w:t>report.</w:t>
            </w:r>
          </w:p>
        </w:tc>
      </w:tr>
      <w:tr>
        <w:trPr>
          <w:trHeight w:val="408" w:hRule="atLeast"/>
        </w:trPr>
        <w:tc>
          <w:tcPr>
            <w:tcW w:w="4441" w:type="dxa"/>
            <w:tcBorders>
              <w:top w:val="single" w:sz="4" w:space="0" w:color="000000"/>
            </w:tcBorders>
          </w:tcPr>
          <w:p>
            <w:pPr>
              <w:pStyle w:val="TableParagraph"/>
              <w:spacing w:line="202" w:lineRule="exact"/>
              <w:ind w:left="271"/>
              <w:rPr>
                <w:sz w:val="18"/>
              </w:rPr>
            </w:pPr>
            <w:r>
              <w:rPr>
                <w:sz w:val="18"/>
              </w:rPr>
              <w:t>Report</w:t>
            </w:r>
            <w:r>
              <w:rPr>
                <w:spacing w:val="30"/>
                <w:sz w:val="18"/>
              </w:rPr>
              <w:t> </w:t>
            </w:r>
            <w:r>
              <w:rPr>
                <w:sz w:val="18"/>
              </w:rPr>
              <w:t>back</w:t>
            </w:r>
            <w:r>
              <w:rPr>
                <w:spacing w:val="32"/>
                <w:sz w:val="18"/>
              </w:rPr>
              <w:t> </w:t>
            </w:r>
            <w:r>
              <w:rPr>
                <w:sz w:val="18"/>
              </w:rPr>
              <w:t>on</w:t>
            </w:r>
            <w:r>
              <w:rPr>
                <w:spacing w:val="33"/>
                <w:sz w:val="18"/>
              </w:rPr>
              <w:t> </w:t>
            </w:r>
            <w:r>
              <w:rPr>
                <w:sz w:val="18"/>
              </w:rPr>
              <w:t>activities</w:t>
            </w:r>
            <w:r>
              <w:rPr>
                <w:spacing w:val="32"/>
                <w:sz w:val="18"/>
              </w:rPr>
              <w:t> </w:t>
            </w:r>
            <w:r>
              <w:rPr>
                <w:sz w:val="18"/>
              </w:rPr>
              <w:t>and</w:t>
            </w:r>
            <w:r>
              <w:rPr>
                <w:spacing w:val="33"/>
                <w:sz w:val="18"/>
              </w:rPr>
              <w:t> </w:t>
            </w:r>
            <w:r>
              <w:rPr>
                <w:sz w:val="18"/>
              </w:rPr>
              <w:t>findings</w:t>
            </w:r>
            <w:r>
              <w:rPr>
                <w:spacing w:val="32"/>
                <w:sz w:val="18"/>
              </w:rPr>
              <w:t> </w:t>
            </w:r>
            <w:r>
              <w:rPr>
                <w:sz w:val="18"/>
              </w:rPr>
              <w:t>to</w:t>
            </w:r>
            <w:r>
              <w:rPr>
                <w:spacing w:val="34"/>
                <w:sz w:val="18"/>
              </w:rPr>
              <w:t> </w:t>
            </w:r>
            <w:r>
              <w:rPr>
                <w:spacing w:val="-2"/>
                <w:sz w:val="18"/>
              </w:rPr>
              <w:t>community.</w:t>
            </w:r>
          </w:p>
          <w:p>
            <w:pPr>
              <w:pStyle w:val="TableParagraph"/>
              <w:tabs>
                <w:tab w:pos="271" w:val="left" w:leader="none"/>
                <w:tab w:pos="4440" w:val="left" w:leader="none"/>
              </w:tabs>
              <w:spacing w:line="187" w:lineRule="exact"/>
              <w:ind w:left="-15"/>
              <w:rPr>
                <w:sz w:val="18"/>
              </w:rPr>
            </w:pPr>
            <w:r>
              <w:rPr>
                <w:sz w:val="18"/>
                <w:u w:val="single"/>
              </w:rPr>
              <w:tab/>
              <w:t>Prepare</w:t>
            </w:r>
            <w:r>
              <w:rPr>
                <w:spacing w:val="-3"/>
                <w:sz w:val="18"/>
                <w:u w:val="single"/>
              </w:rPr>
              <w:t> </w:t>
            </w:r>
            <w:r>
              <w:rPr>
                <w:sz w:val="18"/>
                <w:u w:val="single"/>
              </w:rPr>
              <w:t>manuscripts,</w:t>
            </w:r>
            <w:r>
              <w:rPr>
                <w:spacing w:val="-3"/>
                <w:sz w:val="18"/>
                <w:u w:val="single"/>
              </w:rPr>
              <w:t> </w:t>
            </w:r>
            <w:r>
              <w:rPr>
                <w:sz w:val="18"/>
                <w:u w:val="single"/>
              </w:rPr>
              <w:t>new</w:t>
            </w:r>
            <w:r>
              <w:rPr>
                <w:spacing w:val="-4"/>
                <w:sz w:val="18"/>
                <w:u w:val="single"/>
              </w:rPr>
              <w:t> </w:t>
            </w:r>
            <w:r>
              <w:rPr>
                <w:sz w:val="18"/>
                <w:u w:val="single"/>
              </w:rPr>
              <w:t>grant</w:t>
            </w:r>
            <w:r>
              <w:rPr>
                <w:spacing w:val="-2"/>
                <w:sz w:val="18"/>
                <w:u w:val="single"/>
              </w:rPr>
              <w:t> proposals.</w:t>
            </w:r>
            <w:r>
              <w:rPr>
                <w:sz w:val="18"/>
                <w:u w:val="single"/>
              </w:rPr>
              <w:tab/>
            </w:r>
          </w:p>
        </w:tc>
      </w:tr>
    </w:tbl>
    <w:p>
      <w:pPr>
        <w:pStyle w:val="BodyText"/>
        <w:spacing w:before="81"/>
        <w:ind w:right="114"/>
        <w:jc w:val="both"/>
      </w:pPr>
      <w:r>
        <w:rPr/>
        <w:br w:type="column"/>
      </w:r>
      <w:r>
        <w:rPr/>
        <w:t>ingredient to a workable CBPR process. As important</w:t>
      </w:r>
      <w:r>
        <w:rPr>
          <w:spacing w:val="-4"/>
        </w:rPr>
        <w:t> </w:t>
      </w:r>
      <w:r>
        <w:rPr/>
        <w:t>as</w:t>
      </w:r>
      <w:r>
        <w:rPr>
          <w:spacing w:val="-6"/>
        </w:rPr>
        <w:t> </w:t>
      </w:r>
      <w:r>
        <w:rPr/>
        <w:t>electronic</w:t>
      </w:r>
      <w:r>
        <w:rPr>
          <w:spacing w:val="-5"/>
        </w:rPr>
        <w:t> </w:t>
      </w:r>
      <w:r>
        <w:rPr/>
        <w:t>modes</w:t>
      </w:r>
      <w:r>
        <w:rPr>
          <w:spacing w:val="-4"/>
        </w:rPr>
        <w:t> </w:t>
      </w:r>
      <w:r>
        <w:rPr/>
        <w:t>of</w:t>
      </w:r>
      <w:r>
        <w:rPr>
          <w:spacing w:val="-6"/>
        </w:rPr>
        <w:t> </w:t>
      </w:r>
      <w:r>
        <w:rPr/>
        <w:t>communication have become, participation in face-to-face meetings is extremely helpful in the</w:t>
      </w:r>
      <w:r>
        <w:rPr>
          <w:spacing w:val="40"/>
        </w:rPr>
        <w:t> </w:t>
      </w:r>
      <w:r>
        <w:rPr/>
        <w:t>development of a new relationship, particularly in Pacific Islander communities who value such </w:t>
      </w:r>
      <w:r>
        <w:rPr>
          <w:spacing w:val="-2"/>
        </w:rPr>
        <w:t>interactions</w:t>
      </w:r>
    </w:p>
    <w:p>
      <w:pPr>
        <w:pStyle w:val="BodyText"/>
        <w:ind w:left="0"/>
      </w:pPr>
    </w:p>
    <w:p>
      <w:pPr>
        <w:pStyle w:val="BodyText"/>
        <w:ind w:right="115"/>
        <w:jc w:val="both"/>
      </w:pPr>
      <w:r>
        <w:rPr/>
        <w:t>The time needed for this process often exceeds either partner’s expectations, and is time that is taken away from competing priorities such as service delivery, fund-raising, teaching, and conference and other travel demands.</w:t>
      </w:r>
    </w:p>
    <w:p>
      <w:pPr>
        <w:pStyle w:val="BodyText"/>
        <w:spacing w:before="6"/>
        <w:ind w:left="0"/>
      </w:pPr>
    </w:p>
    <w:p>
      <w:pPr>
        <w:pStyle w:val="Heading1"/>
        <w:spacing w:before="1"/>
        <w:ind w:right="130"/>
      </w:pPr>
      <w:r>
        <w:rPr/>
        <w:t>The</w:t>
      </w:r>
      <w:r>
        <w:rPr>
          <w:spacing w:val="-7"/>
        </w:rPr>
        <w:t> </w:t>
      </w:r>
      <w:r>
        <w:rPr/>
        <w:t>Need</w:t>
      </w:r>
      <w:r>
        <w:rPr>
          <w:spacing w:val="-9"/>
        </w:rPr>
        <w:t> </w:t>
      </w:r>
      <w:r>
        <w:rPr/>
        <w:t>for</w:t>
      </w:r>
      <w:r>
        <w:rPr>
          <w:spacing w:val="-7"/>
        </w:rPr>
        <w:t> </w:t>
      </w:r>
      <w:r>
        <w:rPr/>
        <w:t>Ongoing</w:t>
      </w:r>
      <w:r>
        <w:rPr>
          <w:spacing w:val="-7"/>
        </w:rPr>
        <w:t> </w:t>
      </w:r>
      <w:r>
        <w:rPr/>
        <w:t>Clear</w:t>
      </w:r>
      <w:r>
        <w:rPr>
          <w:spacing w:val="-7"/>
        </w:rPr>
        <w:t> </w:t>
      </w:r>
      <w:r>
        <w:rPr/>
        <w:t>Communication, and Examination of Assumptions</w:t>
      </w:r>
    </w:p>
    <w:p>
      <w:pPr>
        <w:pStyle w:val="BodyText"/>
        <w:ind w:right="114"/>
        <w:jc w:val="both"/>
      </w:pPr>
      <w:r>
        <w:rPr/>
        <w:t>The process of developing the community IRB application challenged us to reexamine several aspects of our research plans initially thought to be resolved. First, in considering the questions posed by the application about inclusion and exclusion criteria, representativeness, and rationale, GCN raised concerns about initial plans to include only monolingual English- speaking women. This decision had been made initially on the basis of financial limitations. However, as the team reconsidered the demographic and cultural realities of the women most likely to utilize navigation services and to participate in the study, it became apparent that making no provisions for use of Chamorro language and needs for interpretation would severely limit the acceptability and the generalizability of the study, as well as the applicability of the pilot study results to future research plans.</w:t>
      </w:r>
    </w:p>
    <w:p>
      <w:pPr>
        <w:pStyle w:val="BodyText"/>
        <w:spacing w:before="247"/>
        <w:ind w:right="114"/>
        <w:jc w:val="both"/>
      </w:pPr>
      <w:r>
        <w:rPr/>
        <w:t>Second, in drafting the narrative of our project description, we discovered a misconception regarding the </w:t>
      </w:r>
      <w:r>
        <w:rPr>
          <w:i/>
        </w:rPr>
        <w:t>Målle' </w:t>
      </w:r>
      <w:r>
        <w:rPr/>
        <w:t>program. Although it was understood that a unique aspect of PATH for Women community patient navigators is that they work across the entire continuum of cancer care, the academic researcher had been working under the impression that the majority of GCN </w:t>
      </w:r>
      <w:r>
        <w:rPr>
          <w:i/>
        </w:rPr>
        <w:t>Målle' </w:t>
      </w:r>
      <w:r>
        <w:rPr/>
        <w:t>work dealt primarily with navigating women</w:t>
      </w:r>
      <w:r>
        <w:rPr>
          <w:spacing w:val="-5"/>
        </w:rPr>
        <w:t> </w:t>
      </w:r>
      <w:r>
        <w:rPr/>
        <w:t>through</w:t>
      </w:r>
      <w:r>
        <w:rPr>
          <w:spacing w:val="-5"/>
        </w:rPr>
        <w:t> </w:t>
      </w:r>
      <w:r>
        <w:rPr/>
        <w:t>breast</w:t>
      </w:r>
      <w:r>
        <w:rPr>
          <w:spacing w:val="-6"/>
        </w:rPr>
        <w:t> </w:t>
      </w:r>
      <w:r>
        <w:rPr/>
        <w:t>cancer</w:t>
      </w:r>
      <w:r>
        <w:rPr>
          <w:spacing w:val="-6"/>
        </w:rPr>
        <w:t> </w:t>
      </w:r>
      <w:r>
        <w:rPr/>
        <w:t>screening</w:t>
      </w:r>
      <w:r>
        <w:rPr>
          <w:spacing w:val="-8"/>
        </w:rPr>
        <w:t> </w:t>
      </w:r>
      <w:r>
        <w:rPr/>
        <w:t>services. In fact, this is not the case: the GCN </w:t>
      </w:r>
      <w:r>
        <w:rPr>
          <w:i/>
        </w:rPr>
        <w:t>Målle'</w:t>
      </w:r>
      <w:r>
        <w:rPr>
          <w:i/>
        </w:rPr>
        <w:t> </w:t>
      </w:r>
      <w:r>
        <w:rPr/>
        <w:t>devote</w:t>
      </w:r>
      <w:r>
        <w:rPr>
          <w:spacing w:val="53"/>
          <w:w w:val="150"/>
        </w:rPr>
        <w:t> </w:t>
      </w:r>
      <w:r>
        <w:rPr/>
        <w:t>a</w:t>
      </w:r>
      <w:r>
        <w:rPr>
          <w:spacing w:val="78"/>
        </w:rPr>
        <w:t> </w:t>
      </w:r>
      <w:r>
        <w:rPr/>
        <w:t>large</w:t>
      </w:r>
      <w:r>
        <w:rPr>
          <w:spacing w:val="54"/>
          <w:w w:val="150"/>
        </w:rPr>
        <w:t> </w:t>
      </w:r>
      <w:r>
        <w:rPr/>
        <w:t>proportion</w:t>
      </w:r>
      <w:r>
        <w:rPr>
          <w:spacing w:val="79"/>
        </w:rPr>
        <w:t> </w:t>
      </w:r>
      <w:r>
        <w:rPr/>
        <w:t>of</w:t>
      </w:r>
      <w:r>
        <w:rPr>
          <w:spacing w:val="52"/>
          <w:w w:val="150"/>
        </w:rPr>
        <w:t> </w:t>
      </w:r>
      <w:r>
        <w:rPr/>
        <w:t>their</w:t>
      </w:r>
      <w:r>
        <w:rPr>
          <w:spacing w:val="79"/>
        </w:rPr>
        <w:t> </w:t>
      </w:r>
      <w:r>
        <w:rPr/>
        <w:t>time</w:t>
      </w:r>
      <w:r>
        <w:rPr>
          <w:spacing w:val="54"/>
          <w:w w:val="150"/>
        </w:rPr>
        <w:t> </w:t>
      </w:r>
      <w:r>
        <w:rPr>
          <w:spacing w:val="-5"/>
        </w:rPr>
        <w:t>and</w:t>
      </w:r>
    </w:p>
    <w:p>
      <w:pPr>
        <w:spacing w:after="0"/>
        <w:jc w:val="both"/>
        <w:sectPr>
          <w:pgSz w:w="12240" w:h="15840"/>
          <w:pgMar w:header="721" w:footer="792" w:top="1340" w:bottom="980" w:left="1320" w:right="1320"/>
          <w:cols w:num="2" w:equalWidth="0">
            <w:col w:w="4602" w:space="439"/>
            <w:col w:w="4559"/>
          </w:cols>
        </w:sectPr>
      </w:pPr>
    </w:p>
    <w:p>
      <w:pPr>
        <w:pStyle w:val="BodyText"/>
        <w:spacing w:before="81"/>
        <w:ind w:right="39"/>
        <w:jc w:val="both"/>
      </w:pPr>
      <w:r>
        <w:rPr/>
        <w:t>efforts to navigating individuals who have received cancer diagnoses and are undergoing treatment (as well as their family members and caregivers). This experience served as a striking reminder that, despite numerous in-depth conversations, misunderstandings may go undetected until such time as assumptions are made explicit.</w:t>
      </w:r>
      <w:r>
        <w:rPr>
          <w:spacing w:val="-1"/>
        </w:rPr>
        <w:t> </w:t>
      </w:r>
      <w:r>
        <w:rPr/>
        <w:t>This may result from</w:t>
      </w:r>
      <w:r>
        <w:rPr>
          <w:spacing w:val="-2"/>
        </w:rPr>
        <w:t> </w:t>
      </w:r>
      <w:r>
        <w:rPr/>
        <w:t>a number of factors, including assumptions or incorrect understanding regarding shared meaning of language, particularly jargon or terms with inherently imprecise meaning (</w:t>
      </w:r>
      <w:r>
        <w:rPr>
          <w:i/>
        </w:rPr>
        <w:t>e.g.</w:t>
      </w:r>
      <w:r>
        <w:rPr/>
        <w:t>, “patient navigator,” “access to services”), and use of generalities without articulation of precise </w:t>
      </w:r>
      <w:r>
        <w:rPr>
          <w:spacing w:val="-2"/>
        </w:rPr>
        <w:t>details.</w:t>
      </w:r>
    </w:p>
    <w:p>
      <w:pPr>
        <w:pStyle w:val="BodyText"/>
        <w:spacing w:before="2"/>
        <w:ind w:left="0"/>
      </w:pPr>
    </w:p>
    <w:p>
      <w:pPr>
        <w:pStyle w:val="BodyText"/>
        <w:ind w:right="40"/>
        <w:jc w:val="both"/>
      </w:pPr>
      <w:r>
        <w:rPr/>
        <w:t>Again, sufficient time must be protected for a cyclical, incremental process of initial development, evaluation, critique, and revision of plans</w:t>
      </w:r>
      <w:r>
        <w:rPr>
          <w:spacing w:val="-1"/>
        </w:rPr>
        <w:t> </w:t>
      </w:r>
      <w:r>
        <w:rPr/>
        <w:t>and protocols, questioning</w:t>
      </w:r>
      <w:r>
        <w:rPr>
          <w:spacing w:val="-2"/>
        </w:rPr>
        <w:t> </w:t>
      </w:r>
      <w:r>
        <w:rPr/>
        <w:t>assumptions, and checking in with one another on an ongoing basis as realities on the ground evolve. Previous research has found that community partners feel community-academic partnerships work best when all issues are potentially open for negotiation (Wolff, 2001). This approach can contribute to a time consuming and difficult process for any collaborative effort, but such an approach may be essential to community- academic partnerships, potentially operating under a cloud of issues of past imbalances of power, control, decision-making and </w:t>
      </w:r>
      <w:r>
        <w:rPr>
          <w:spacing w:val="-2"/>
        </w:rPr>
        <w:t>accountability.</w:t>
      </w:r>
    </w:p>
    <w:p>
      <w:pPr>
        <w:pStyle w:val="BodyText"/>
        <w:spacing w:before="4"/>
        <w:ind w:left="0"/>
      </w:pPr>
    </w:p>
    <w:p>
      <w:pPr>
        <w:pStyle w:val="Heading1"/>
        <w:spacing w:before="1"/>
        <w:ind w:left="77"/>
        <w:jc w:val="center"/>
      </w:pPr>
      <w:r>
        <w:rPr>
          <w:spacing w:val="-2"/>
        </w:rPr>
        <w:t>Conclusions</w:t>
      </w:r>
    </w:p>
    <w:p>
      <w:pPr>
        <w:pStyle w:val="BodyText"/>
        <w:spacing w:before="248"/>
        <w:ind w:right="38"/>
        <w:jc w:val="both"/>
      </w:pPr>
      <w:r>
        <w:rPr/>
        <w:t>In summary, to date, we have taken steps to establish a new community-academic research partnership, guided by principles including co- equal community control of the research processes such as problem-definition and protocol planning (Table 3). We have successfully</w:t>
      </w:r>
      <w:r>
        <w:rPr>
          <w:spacing w:val="-5"/>
        </w:rPr>
        <w:t> </w:t>
      </w:r>
      <w:r>
        <w:rPr/>
        <w:t>developed</w:t>
      </w:r>
      <w:r>
        <w:rPr>
          <w:spacing w:val="-2"/>
        </w:rPr>
        <w:t> </w:t>
      </w:r>
      <w:r>
        <w:rPr/>
        <w:t>a</w:t>
      </w:r>
      <w:r>
        <w:rPr>
          <w:spacing w:val="-2"/>
        </w:rPr>
        <w:t> </w:t>
      </w:r>
      <w:r>
        <w:rPr/>
        <w:t>working</w:t>
      </w:r>
      <w:r>
        <w:rPr>
          <w:spacing w:val="-5"/>
        </w:rPr>
        <w:t> </w:t>
      </w:r>
      <w:r>
        <w:rPr/>
        <w:t>set</w:t>
      </w:r>
      <w:r>
        <w:rPr>
          <w:spacing w:val="-1"/>
        </w:rPr>
        <w:t> </w:t>
      </w:r>
      <w:r>
        <w:rPr/>
        <w:t>of</w:t>
      </w:r>
      <w:r>
        <w:rPr>
          <w:spacing w:val="-1"/>
        </w:rPr>
        <w:t> </w:t>
      </w:r>
      <w:r>
        <w:rPr/>
        <w:t>research priorities and plans, have begun to develop data collection instruments, and have developed protocols for human subjects protection. We are developing a memorandum of understanding aimed at translating</w:t>
      </w:r>
      <w:r>
        <w:rPr>
          <w:spacing w:val="-2"/>
        </w:rPr>
        <w:t> </w:t>
      </w:r>
      <w:r>
        <w:rPr/>
        <w:t>CBPR</w:t>
      </w:r>
      <w:r>
        <w:rPr>
          <w:spacing w:val="-1"/>
        </w:rPr>
        <w:t> </w:t>
      </w:r>
      <w:r>
        <w:rPr/>
        <w:t>principles</w:t>
      </w:r>
      <w:r>
        <w:rPr>
          <w:spacing w:val="-1"/>
        </w:rPr>
        <w:t> </w:t>
      </w:r>
      <w:r>
        <w:rPr/>
        <w:t>into a real- world equal community and academic research partnership.</w:t>
      </w:r>
      <w:r>
        <w:rPr>
          <w:spacing w:val="73"/>
          <w:w w:val="150"/>
        </w:rPr>
        <w:t> </w:t>
      </w:r>
      <w:r>
        <w:rPr/>
        <w:t>Next</w:t>
      </w:r>
      <w:r>
        <w:rPr>
          <w:spacing w:val="75"/>
          <w:w w:val="150"/>
        </w:rPr>
        <w:t> </w:t>
      </w:r>
      <w:r>
        <w:rPr/>
        <w:t>steps</w:t>
      </w:r>
      <w:r>
        <w:rPr>
          <w:spacing w:val="75"/>
          <w:w w:val="150"/>
        </w:rPr>
        <w:t> </w:t>
      </w:r>
      <w:r>
        <w:rPr/>
        <w:t>will</w:t>
      </w:r>
      <w:r>
        <w:rPr>
          <w:spacing w:val="72"/>
          <w:w w:val="150"/>
        </w:rPr>
        <w:t> </w:t>
      </w:r>
      <w:r>
        <w:rPr/>
        <w:t>involve</w:t>
      </w:r>
      <w:r>
        <w:rPr>
          <w:spacing w:val="74"/>
          <w:w w:val="150"/>
        </w:rPr>
        <w:t> </w:t>
      </w:r>
      <w:r>
        <w:rPr>
          <w:spacing w:val="-2"/>
        </w:rPr>
        <w:t>further</w:t>
      </w:r>
    </w:p>
    <w:p>
      <w:pPr>
        <w:pStyle w:val="BodyText"/>
        <w:spacing w:before="81"/>
        <w:ind w:right="116"/>
        <w:jc w:val="both"/>
      </w:pPr>
      <w:r>
        <w:rPr/>
        <w:br w:type="column"/>
      </w:r>
      <w:r>
        <w:rPr/>
        <w:t>development and refinement of data collection instruments in partnership with GCN and Chamorro advisors, and data collection with mixed methods involving interviews, focus groups, and direct observation, to begin to evaluate the impact of a culturally tailored community-based health navigation model for breast cancer in the Southern California Chamorro community. Analysis and interpretation of data, and synthesis and dissemination of findings for community and academic audiences will also occur with the full participation</w:t>
      </w:r>
      <w:r>
        <w:rPr>
          <w:spacing w:val="-1"/>
        </w:rPr>
        <w:t> </w:t>
      </w:r>
      <w:r>
        <w:rPr/>
        <w:t>of all</w:t>
      </w:r>
      <w:r>
        <w:rPr>
          <w:spacing w:val="-2"/>
        </w:rPr>
        <w:t> </w:t>
      </w:r>
      <w:r>
        <w:rPr/>
        <w:t>team</w:t>
      </w:r>
      <w:r>
        <w:rPr>
          <w:spacing w:val="-4"/>
        </w:rPr>
        <w:t> </w:t>
      </w:r>
      <w:r>
        <w:rPr/>
        <w:t>members. The results of this work will be used for ongoing program quality improvement, as well as to leverage future funding to enhance program</w:t>
      </w:r>
      <w:r>
        <w:rPr>
          <w:spacing w:val="80"/>
        </w:rPr>
        <w:t> </w:t>
      </w:r>
      <w:r>
        <w:rPr>
          <w:spacing w:val="-2"/>
        </w:rPr>
        <w:t>sustainability.</w:t>
      </w:r>
    </w:p>
    <w:p>
      <w:pPr>
        <w:pStyle w:val="BodyText"/>
        <w:ind w:left="0"/>
      </w:pPr>
    </w:p>
    <w:p>
      <w:pPr>
        <w:pStyle w:val="BodyText"/>
        <w:ind w:right="114"/>
        <w:jc w:val="both"/>
      </w:pPr>
      <w:r>
        <w:rPr/>
        <w:t>Adequate time for relationship-building, open and honest communication, flexibility, humility, and willingness to release assumptions are keys to developing successful CBPR partnerships. This effort is an example of the various factors that must be identified and discussed to build strong and effective research relationships. Although, on the surface, it seems quite appropriate to</w:t>
      </w:r>
      <w:r>
        <w:rPr>
          <w:spacing w:val="-1"/>
        </w:rPr>
        <w:t> </w:t>
      </w:r>
      <w:r>
        <w:rPr/>
        <w:t>bring</w:t>
      </w:r>
      <w:r>
        <w:rPr>
          <w:spacing w:val="-3"/>
        </w:rPr>
        <w:t> </w:t>
      </w:r>
      <w:r>
        <w:rPr/>
        <w:t>together groups with</w:t>
      </w:r>
      <w:r>
        <w:rPr>
          <w:spacing w:val="-1"/>
        </w:rPr>
        <w:t> </w:t>
      </w:r>
      <w:r>
        <w:rPr/>
        <w:t>similar interests to work together, there must be an iterative “getting to know you” process in which trust and respect are developed and partners can negotiate roles and responsibilities.</w:t>
      </w:r>
      <w:r>
        <w:rPr>
          <w:spacing w:val="40"/>
        </w:rPr>
        <w:t> </w:t>
      </w:r>
      <w:r>
        <w:rPr/>
        <w:t>In these processes the strengths and assets of each group/community are brought to light and highlighted to strengthen the partnership.</w:t>
      </w:r>
    </w:p>
    <w:p>
      <w:pPr>
        <w:pStyle w:val="BodyText"/>
        <w:spacing w:before="5"/>
        <w:ind w:left="0"/>
      </w:pPr>
    </w:p>
    <w:p>
      <w:pPr>
        <w:pStyle w:val="Heading1"/>
        <w:spacing w:line="251" w:lineRule="exact" w:before="1"/>
        <w:jc w:val="left"/>
      </w:pPr>
      <w:r>
        <w:rPr>
          <w:spacing w:val="-2"/>
        </w:rPr>
        <w:t>Acknowledgements</w:t>
      </w:r>
    </w:p>
    <w:p>
      <w:pPr>
        <w:pStyle w:val="BodyText"/>
      </w:pPr>
      <w:r>
        <w:rPr/>
        <w:t>Sora</w:t>
      </w:r>
      <w:r>
        <w:rPr>
          <w:spacing w:val="80"/>
        </w:rPr>
        <w:t> </w:t>
      </w:r>
      <w:r>
        <w:rPr/>
        <w:t>Park</w:t>
      </w:r>
      <w:r>
        <w:rPr>
          <w:spacing w:val="80"/>
        </w:rPr>
        <w:t> </w:t>
      </w:r>
      <w:r>
        <w:rPr/>
        <w:t>Tanjasiri,</w:t>
      </w:r>
      <w:r>
        <w:rPr>
          <w:spacing w:val="80"/>
        </w:rPr>
        <w:t> </w:t>
      </w:r>
      <w:r>
        <w:rPr/>
        <w:t>DrPH,</w:t>
      </w:r>
      <w:r>
        <w:rPr>
          <w:spacing w:val="80"/>
        </w:rPr>
        <w:t> </w:t>
      </w:r>
      <w:r>
        <w:rPr/>
        <w:t>California</w:t>
      </w:r>
      <w:r>
        <w:rPr>
          <w:spacing w:val="80"/>
        </w:rPr>
        <w:t> </w:t>
      </w:r>
      <w:r>
        <w:rPr/>
        <w:t>State University, Fullerton.</w:t>
      </w:r>
    </w:p>
    <w:p>
      <w:pPr>
        <w:pStyle w:val="BodyText"/>
        <w:spacing w:before="250"/>
        <w:ind w:right="114"/>
        <w:jc w:val="both"/>
      </w:pPr>
      <w:r>
        <w:rPr/>
        <w:t>Dr. Tisnado received support from the</w:t>
      </w:r>
      <w:r>
        <w:rPr>
          <w:spacing w:val="40"/>
        </w:rPr>
        <w:t> </w:t>
      </w:r>
      <w:r>
        <w:rPr/>
        <w:t>University of California, Los Angeles, Resource Centers for Minority Aging Research/Center for Health Improvement of Minority Elderly (RCMAR/CHIME) under NIH/NIA Grant P30- AG021684, and a University of California, Los Angeles Older Americans Independence Center Career Development Award, #5P30AG128748. The content does not necessarily represent the official views of the National Institute on Aging or the National Institutes of Health.</w:t>
      </w:r>
    </w:p>
    <w:p>
      <w:pPr>
        <w:spacing w:after="0"/>
        <w:jc w:val="both"/>
        <w:sectPr>
          <w:pgSz w:w="12240" w:h="15840"/>
          <w:pgMar w:header="721" w:footer="792" w:top="1340" w:bottom="980" w:left="1320" w:right="1320"/>
          <w:cols w:num="2" w:equalWidth="0">
            <w:col w:w="4485" w:space="555"/>
            <w:col w:w="4560"/>
          </w:cols>
        </w:sectPr>
      </w:pPr>
    </w:p>
    <w:p>
      <w:pPr>
        <w:pStyle w:val="BodyText"/>
        <w:spacing w:before="81"/>
        <w:ind w:right="38"/>
        <w:jc w:val="both"/>
      </w:pPr>
      <w:r>
        <w:rPr/>
        <w:t>This work was also supported by Cooperative Agreement Number 5U58DP001006-02 </w:t>
      </w:r>
      <w:r>
        <w:rPr/>
        <w:t>and 5U58DP001006-023</w:t>
      </w:r>
      <w:r>
        <w:rPr>
          <w:spacing w:val="6"/>
        </w:rPr>
        <w:t> </w:t>
      </w:r>
      <w:r>
        <w:rPr/>
        <w:t>from</w:t>
      </w:r>
      <w:r>
        <w:rPr>
          <w:spacing w:val="5"/>
        </w:rPr>
        <w:t> </w:t>
      </w:r>
      <w:r>
        <w:rPr/>
        <w:t>CDC.</w:t>
      </w:r>
      <w:r>
        <w:rPr>
          <w:spacing w:val="8"/>
        </w:rPr>
        <w:t> </w:t>
      </w:r>
      <w:r>
        <w:rPr/>
        <w:t>Its</w:t>
      </w:r>
      <w:r>
        <w:rPr>
          <w:spacing w:val="7"/>
        </w:rPr>
        <w:t> </w:t>
      </w:r>
      <w:r>
        <w:rPr/>
        <w:t>contents</w:t>
      </w:r>
      <w:r>
        <w:rPr>
          <w:spacing w:val="7"/>
        </w:rPr>
        <w:t> </w:t>
      </w:r>
      <w:r>
        <w:rPr>
          <w:spacing w:val="-5"/>
        </w:rPr>
        <w:t>are</w:t>
      </w:r>
    </w:p>
    <w:p>
      <w:pPr>
        <w:pStyle w:val="BodyText"/>
        <w:spacing w:before="81"/>
        <w:ind w:right="118"/>
        <w:jc w:val="both"/>
      </w:pPr>
      <w:r>
        <w:rPr/>
        <w:br w:type="column"/>
      </w:r>
      <w:r>
        <w:rPr/>
        <w:t>solely the responsibility of the authors and do</w:t>
      </w:r>
      <w:r>
        <w:rPr>
          <w:spacing w:val="40"/>
        </w:rPr>
        <w:t> </w:t>
      </w:r>
      <w:r>
        <w:rPr/>
        <w:t>not necessarily represent the official views of </w:t>
      </w:r>
      <w:r>
        <w:rPr>
          <w:spacing w:val="-4"/>
        </w:rPr>
        <w:t>CDC.</w:t>
      </w:r>
    </w:p>
    <w:p>
      <w:pPr>
        <w:spacing w:after="0"/>
        <w:jc w:val="both"/>
        <w:sectPr>
          <w:pgSz w:w="12240" w:h="15840"/>
          <w:pgMar w:header="721" w:footer="792" w:top="1340" w:bottom="980" w:left="1320" w:right="1320"/>
          <w:cols w:num="2" w:equalWidth="0">
            <w:col w:w="4483" w:space="558"/>
            <w:col w:w="4559"/>
          </w:cols>
        </w:sectPr>
      </w:pPr>
    </w:p>
    <w:p>
      <w:pPr>
        <w:pStyle w:val="BodyText"/>
        <w:ind w:left="0"/>
      </w:pPr>
    </w:p>
    <w:p>
      <w:pPr>
        <w:pStyle w:val="BodyText"/>
        <w:spacing w:before="5"/>
        <w:ind w:left="0"/>
      </w:pPr>
    </w:p>
    <w:p>
      <w:pPr>
        <w:pStyle w:val="Heading1"/>
        <w:spacing w:line="250" w:lineRule="exact"/>
        <w:jc w:val="left"/>
      </w:pPr>
      <w:r>
        <w:rPr>
          <w:spacing w:val="-2"/>
        </w:rPr>
        <w:t>References</w:t>
      </w:r>
    </w:p>
    <w:p>
      <w:pPr>
        <w:pStyle w:val="BodyText"/>
        <w:ind w:left="840" w:right="134" w:hanging="720"/>
        <w:jc w:val="both"/>
      </w:pPr>
      <w:r>
        <w:rPr/>
        <w:t>Bird,</w:t>
      </w:r>
      <w:r>
        <w:rPr>
          <w:spacing w:val="-5"/>
        </w:rPr>
        <w:t> </w:t>
      </w:r>
      <w:r>
        <w:rPr/>
        <w:t>J.A.,</w:t>
      </w:r>
      <w:r>
        <w:rPr>
          <w:spacing w:val="-2"/>
        </w:rPr>
        <w:t> </w:t>
      </w:r>
      <w:r>
        <w:rPr/>
        <w:t>McPhee,</w:t>
      </w:r>
      <w:r>
        <w:rPr>
          <w:spacing w:val="-2"/>
        </w:rPr>
        <w:t> </w:t>
      </w:r>
      <w:r>
        <w:rPr/>
        <w:t>S.J.,</w:t>
      </w:r>
      <w:r>
        <w:rPr>
          <w:spacing w:val="-2"/>
        </w:rPr>
        <w:t> </w:t>
      </w:r>
      <w:r>
        <w:rPr/>
        <w:t>Ha,</w:t>
      </w:r>
      <w:r>
        <w:rPr>
          <w:spacing w:val="-2"/>
        </w:rPr>
        <w:t> </w:t>
      </w:r>
      <w:r>
        <w:rPr/>
        <w:t>N.T.,</w:t>
      </w:r>
      <w:r>
        <w:rPr>
          <w:spacing w:val="-2"/>
        </w:rPr>
        <w:t> </w:t>
      </w:r>
      <w:r>
        <w:rPr/>
        <w:t>Le,</w:t>
      </w:r>
      <w:r>
        <w:rPr>
          <w:spacing w:val="-2"/>
        </w:rPr>
        <w:t> </w:t>
      </w:r>
      <w:r>
        <w:rPr/>
        <w:t>B.,</w:t>
      </w:r>
      <w:r>
        <w:rPr>
          <w:spacing w:val="-2"/>
        </w:rPr>
        <w:t> </w:t>
      </w:r>
      <w:r>
        <w:rPr/>
        <w:t>Davis,</w:t>
      </w:r>
      <w:r>
        <w:rPr>
          <w:spacing w:val="-4"/>
        </w:rPr>
        <w:t> </w:t>
      </w:r>
      <w:r>
        <w:rPr/>
        <w:t>T.,</w:t>
      </w:r>
      <w:r>
        <w:rPr>
          <w:spacing w:val="-3"/>
        </w:rPr>
        <w:t> </w:t>
      </w:r>
      <w:r>
        <w:rPr/>
        <w:t>&amp;</w:t>
      </w:r>
      <w:r>
        <w:rPr>
          <w:spacing w:val="-4"/>
        </w:rPr>
        <w:t> </w:t>
      </w:r>
      <w:r>
        <w:rPr/>
        <w:t>Jenkins,</w:t>
      </w:r>
      <w:r>
        <w:rPr>
          <w:spacing w:val="-2"/>
        </w:rPr>
        <w:t> </w:t>
      </w:r>
      <w:r>
        <w:rPr/>
        <w:t>C.N.</w:t>
      </w:r>
      <w:r>
        <w:rPr>
          <w:spacing w:val="-2"/>
        </w:rPr>
        <w:t> </w:t>
      </w:r>
      <w:r>
        <w:rPr/>
        <w:t>(1998).</w:t>
      </w:r>
      <w:r>
        <w:rPr>
          <w:spacing w:val="-3"/>
        </w:rPr>
        <w:t> </w:t>
      </w:r>
      <w:r>
        <w:rPr/>
        <w:t>Opening</w:t>
      </w:r>
      <w:r>
        <w:rPr>
          <w:spacing w:val="-5"/>
        </w:rPr>
        <w:t> </w:t>
      </w:r>
      <w:r>
        <w:rPr/>
        <w:t>pathways</w:t>
      </w:r>
      <w:r>
        <w:rPr>
          <w:spacing w:val="-2"/>
        </w:rPr>
        <w:t> </w:t>
      </w:r>
      <w:r>
        <w:rPr/>
        <w:t>to</w:t>
      </w:r>
      <w:r>
        <w:rPr>
          <w:spacing w:val="-2"/>
        </w:rPr>
        <w:t> </w:t>
      </w:r>
      <w:r>
        <w:rPr/>
        <w:t>cancer screening</w:t>
      </w:r>
      <w:r>
        <w:rPr>
          <w:spacing w:val="-3"/>
        </w:rPr>
        <w:t> </w:t>
      </w:r>
      <w:r>
        <w:rPr/>
        <w:t>for</w:t>
      </w:r>
      <w:r>
        <w:rPr>
          <w:spacing w:val="-2"/>
        </w:rPr>
        <w:t> </w:t>
      </w:r>
      <w:r>
        <w:rPr/>
        <w:t>Vietnamese-American women: lay</w:t>
      </w:r>
      <w:r>
        <w:rPr>
          <w:spacing w:val="-2"/>
        </w:rPr>
        <w:t> </w:t>
      </w:r>
      <w:r>
        <w:rPr/>
        <w:t>health workers hold a</w:t>
      </w:r>
      <w:r>
        <w:rPr>
          <w:spacing w:val="-2"/>
        </w:rPr>
        <w:t> </w:t>
      </w:r>
      <w:r>
        <w:rPr/>
        <w:t>key. </w:t>
      </w:r>
      <w:r>
        <w:rPr>
          <w:i/>
        </w:rPr>
        <w:t>Preventive</w:t>
      </w:r>
      <w:r>
        <w:rPr>
          <w:i/>
          <w:spacing w:val="-2"/>
        </w:rPr>
        <w:t> </w:t>
      </w:r>
      <w:r>
        <w:rPr>
          <w:i/>
        </w:rPr>
        <w:t>Medicine,</w:t>
      </w:r>
      <w:r>
        <w:rPr>
          <w:i/>
        </w:rPr>
        <w:t> 27</w:t>
      </w:r>
      <w:r>
        <w:rPr/>
        <w:t>(6), 821-829.</w:t>
      </w:r>
    </w:p>
    <w:p>
      <w:pPr>
        <w:pStyle w:val="BodyText"/>
        <w:ind w:left="840" w:right="320" w:hanging="720"/>
      </w:pPr>
      <w:r>
        <w:rPr/>
        <w:t>Responding to Pacific Islanders: Culturally Competent Perspectives for Substance Abuse Prevention. (1998). Special Collaborative Monograph produced by: The Bureau of Primary Health Care, Health Resources and Services Administration, The Office of Minority Health, Department of Health</w:t>
      </w:r>
      <w:r>
        <w:rPr>
          <w:spacing w:val="-3"/>
        </w:rPr>
        <w:t> </w:t>
      </w:r>
      <w:r>
        <w:rPr/>
        <w:t>and</w:t>
      </w:r>
      <w:r>
        <w:rPr>
          <w:spacing w:val="-3"/>
        </w:rPr>
        <w:t> </w:t>
      </w:r>
      <w:r>
        <w:rPr/>
        <w:t>Human</w:t>
      </w:r>
      <w:r>
        <w:rPr>
          <w:spacing w:val="-3"/>
        </w:rPr>
        <w:t> </w:t>
      </w:r>
      <w:r>
        <w:rPr/>
        <w:t>Services,</w:t>
      </w:r>
      <w:r>
        <w:rPr>
          <w:spacing w:val="-3"/>
        </w:rPr>
        <w:t> </w:t>
      </w:r>
      <w:r>
        <w:rPr/>
        <w:t>The</w:t>
      </w:r>
      <w:r>
        <w:rPr>
          <w:spacing w:val="-3"/>
        </w:rPr>
        <w:t> </w:t>
      </w:r>
      <w:r>
        <w:rPr/>
        <w:t>Center</w:t>
      </w:r>
      <w:r>
        <w:rPr>
          <w:spacing w:val="-3"/>
        </w:rPr>
        <w:t> </w:t>
      </w:r>
      <w:r>
        <w:rPr/>
        <w:t>for</w:t>
      </w:r>
      <w:r>
        <w:rPr>
          <w:spacing w:val="-3"/>
        </w:rPr>
        <w:t> </w:t>
      </w:r>
      <w:r>
        <w:rPr/>
        <w:t>Substance</w:t>
      </w:r>
      <w:r>
        <w:rPr>
          <w:spacing w:val="-5"/>
        </w:rPr>
        <w:t> </w:t>
      </w:r>
      <w:r>
        <w:rPr/>
        <w:t>Abuse</w:t>
      </w:r>
      <w:r>
        <w:rPr>
          <w:spacing w:val="-3"/>
        </w:rPr>
        <w:t> </w:t>
      </w:r>
      <w:r>
        <w:rPr/>
        <w:t>Prevention</w:t>
      </w:r>
      <w:r>
        <w:rPr>
          <w:spacing w:val="-3"/>
        </w:rPr>
        <w:t> </w:t>
      </w:r>
      <w:r>
        <w:rPr/>
        <w:t>and</w:t>
      </w:r>
      <w:r>
        <w:rPr>
          <w:spacing w:val="-5"/>
        </w:rPr>
        <w:t> </w:t>
      </w:r>
      <w:r>
        <w:rPr/>
        <w:t>Substance</w:t>
      </w:r>
      <w:r>
        <w:rPr>
          <w:spacing w:val="-3"/>
        </w:rPr>
        <w:t> </w:t>
      </w:r>
      <w:r>
        <w:rPr/>
        <w:t>Abuse and Mental Health Services Administration.</w:t>
      </w:r>
    </w:p>
    <w:p>
      <w:pPr>
        <w:pStyle w:val="BodyText"/>
        <w:ind w:left="840" w:right="320" w:hanging="720"/>
      </w:pPr>
      <w:r>
        <w:rPr/>
        <w:t>Cockburn,</w:t>
      </w:r>
      <w:r>
        <w:rPr>
          <w:spacing w:val="-2"/>
        </w:rPr>
        <w:t> </w:t>
      </w:r>
      <w:r>
        <w:rPr/>
        <w:t>M.,</w:t>
      </w:r>
      <w:r>
        <w:rPr>
          <w:spacing w:val="-2"/>
        </w:rPr>
        <w:t> </w:t>
      </w:r>
      <w:r>
        <w:rPr/>
        <w:t>Liu,</w:t>
      </w:r>
      <w:r>
        <w:rPr>
          <w:spacing w:val="-2"/>
        </w:rPr>
        <w:t> </w:t>
      </w:r>
      <w:r>
        <w:rPr/>
        <w:t>L.,</w:t>
      </w:r>
      <w:r>
        <w:rPr>
          <w:spacing w:val="-2"/>
        </w:rPr>
        <w:t> </w:t>
      </w:r>
      <w:r>
        <w:rPr/>
        <w:t>&amp;</w:t>
      </w:r>
      <w:r>
        <w:rPr>
          <w:spacing w:val="-4"/>
        </w:rPr>
        <w:t> </w:t>
      </w:r>
      <w:r>
        <w:rPr/>
        <w:t>Deapen,</w:t>
      </w:r>
      <w:r>
        <w:rPr>
          <w:spacing w:val="-2"/>
        </w:rPr>
        <w:t> </w:t>
      </w:r>
      <w:r>
        <w:rPr/>
        <w:t>D.</w:t>
      </w:r>
      <w:r>
        <w:rPr>
          <w:spacing w:val="-5"/>
        </w:rPr>
        <w:t> </w:t>
      </w:r>
      <w:r>
        <w:rPr/>
        <w:t>(2009).</w:t>
      </w:r>
      <w:r>
        <w:rPr>
          <w:spacing w:val="-2"/>
        </w:rPr>
        <w:t> </w:t>
      </w:r>
      <w:r>
        <w:rPr/>
        <w:t>Cancer</w:t>
      </w:r>
      <w:r>
        <w:rPr>
          <w:spacing w:val="-2"/>
        </w:rPr>
        <w:t> </w:t>
      </w:r>
      <w:r>
        <w:rPr/>
        <w:t>in</w:t>
      </w:r>
      <w:r>
        <w:rPr>
          <w:spacing w:val="-5"/>
        </w:rPr>
        <w:t> </w:t>
      </w:r>
      <w:r>
        <w:rPr/>
        <w:t>Los</w:t>
      </w:r>
      <w:r>
        <w:rPr>
          <w:spacing w:val="-2"/>
        </w:rPr>
        <w:t> </w:t>
      </w:r>
      <w:r>
        <w:rPr/>
        <w:t>Angeles</w:t>
      </w:r>
      <w:r>
        <w:rPr>
          <w:spacing w:val="-2"/>
        </w:rPr>
        <w:t> </w:t>
      </w:r>
      <w:r>
        <w:rPr/>
        <w:t>County:</w:t>
      </w:r>
      <w:r>
        <w:rPr>
          <w:spacing w:val="-4"/>
        </w:rPr>
        <w:t> </w:t>
      </w:r>
      <w:r>
        <w:rPr/>
        <w:t>Trends</w:t>
      </w:r>
      <w:r>
        <w:rPr>
          <w:spacing w:val="-2"/>
        </w:rPr>
        <w:t> </w:t>
      </w:r>
      <w:r>
        <w:rPr/>
        <w:t>by</w:t>
      </w:r>
      <w:r>
        <w:rPr>
          <w:spacing w:val="-4"/>
        </w:rPr>
        <w:t> </w:t>
      </w:r>
      <w:r>
        <w:rPr/>
        <w:t>Race/Ethnicity, 1976-2006. Los Angeles Cancer Surveillance Program, University of Southern California.</w:t>
      </w:r>
    </w:p>
    <w:p>
      <w:pPr>
        <w:pStyle w:val="BodyText"/>
        <w:ind w:left="840" w:right="320" w:hanging="720"/>
      </w:pPr>
      <w:r>
        <w:rPr/>
        <w:t>Doyle, E.I. (2008). Applying Community-based Participatory Research Principles: Cultural Considerations,</w:t>
      </w:r>
      <w:r>
        <w:rPr>
          <w:spacing w:val="-3"/>
        </w:rPr>
        <w:t> </w:t>
      </w:r>
      <w:r>
        <w:rPr/>
        <w:t>New</w:t>
      </w:r>
      <w:r>
        <w:rPr>
          <w:spacing w:val="-4"/>
        </w:rPr>
        <w:t> </w:t>
      </w:r>
      <w:r>
        <w:rPr/>
        <w:t>Paths</w:t>
      </w:r>
      <w:r>
        <w:rPr>
          <w:spacing w:val="-8"/>
        </w:rPr>
        <w:t> </w:t>
      </w:r>
      <w:r>
        <w:rPr/>
        <w:t>Conference,</w:t>
      </w:r>
      <w:r>
        <w:rPr>
          <w:spacing w:val="-3"/>
        </w:rPr>
        <w:t> </w:t>
      </w:r>
      <w:r>
        <w:rPr/>
        <w:t>Cle</w:t>
      </w:r>
      <w:r>
        <w:rPr>
          <w:spacing w:val="-3"/>
        </w:rPr>
        <w:t> </w:t>
      </w:r>
      <w:r>
        <w:rPr/>
        <w:t>Elum,</w:t>
      </w:r>
      <w:r>
        <w:rPr>
          <w:spacing w:val="-3"/>
        </w:rPr>
        <w:t> </w:t>
      </w:r>
      <w:r>
        <w:rPr/>
        <w:t>WA</w:t>
      </w:r>
      <w:r>
        <w:rPr>
          <w:spacing w:val="-3"/>
        </w:rPr>
        <w:t> </w:t>
      </w:r>
      <w:r>
        <w:rPr/>
        <w:t>[Power</w:t>
      </w:r>
      <w:r>
        <w:rPr>
          <w:spacing w:val="-3"/>
        </w:rPr>
        <w:t> </w:t>
      </w:r>
      <w:r>
        <w:rPr/>
        <w:t>Point</w:t>
      </w:r>
      <w:r>
        <w:rPr>
          <w:spacing w:val="-3"/>
        </w:rPr>
        <w:t> </w:t>
      </w:r>
      <w:r>
        <w:rPr/>
        <w:t>Slides].</w:t>
      </w:r>
      <w:r>
        <w:rPr>
          <w:spacing w:val="-3"/>
        </w:rPr>
        <w:t> </w:t>
      </w:r>
      <w:r>
        <w:rPr/>
        <w:t>Retrieved</w:t>
      </w:r>
      <w:r>
        <w:rPr>
          <w:spacing w:val="-3"/>
        </w:rPr>
        <w:t> </w:t>
      </w:r>
      <w:r>
        <w:rPr/>
        <w:t>from </w:t>
      </w:r>
      <w:hyperlink r:id="rId7">
        <w:r>
          <w:rPr>
            <w:spacing w:val="-2"/>
          </w:rPr>
          <w:t>http://depts.washington.edu/pnash/2008conference/abstracts.html.</w:t>
        </w:r>
      </w:hyperlink>
    </w:p>
    <w:p>
      <w:pPr>
        <w:pStyle w:val="BodyText"/>
        <w:ind w:left="840" w:hanging="720"/>
      </w:pPr>
      <w:r>
        <w:rPr/>
        <w:t>Doyle,</w:t>
      </w:r>
      <w:r>
        <w:rPr>
          <w:spacing w:val="-2"/>
        </w:rPr>
        <w:t> </w:t>
      </w:r>
      <w:r>
        <w:rPr/>
        <w:t>E.</w:t>
      </w:r>
      <w:r>
        <w:rPr>
          <w:spacing w:val="-2"/>
        </w:rPr>
        <w:t> </w:t>
      </w:r>
      <w:r>
        <w:rPr/>
        <w:t>I.,</w:t>
      </w:r>
      <w:r>
        <w:rPr>
          <w:spacing w:val="-2"/>
        </w:rPr>
        <w:t> </w:t>
      </w:r>
      <w:r>
        <w:rPr/>
        <w:t>Rager,</w:t>
      </w:r>
      <w:r>
        <w:rPr>
          <w:spacing w:val="-2"/>
        </w:rPr>
        <w:t> </w:t>
      </w:r>
      <w:r>
        <w:rPr/>
        <w:t>R.,</w:t>
      </w:r>
      <w:r>
        <w:rPr>
          <w:spacing w:val="-2"/>
        </w:rPr>
        <w:t> </w:t>
      </w:r>
      <w:r>
        <w:rPr/>
        <w:t>Bates,</w:t>
      </w:r>
      <w:r>
        <w:rPr>
          <w:spacing w:val="-2"/>
        </w:rPr>
        <w:t> </w:t>
      </w:r>
      <w:r>
        <w:rPr/>
        <w:t>D.,</w:t>
      </w:r>
      <w:r>
        <w:rPr>
          <w:spacing w:val="-2"/>
        </w:rPr>
        <w:t> </w:t>
      </w:r>
      <w:r>
        <w:rPr/>
        <w:t>Cooper,</w:t>
      </w:r>
      <w:r>
        <w:rPr>
          <w:spacing w:val="-2"/>
        </w:rPr>
        <w:t> </w:t>
      </w:r>
      <w:r>
        <w:rPr/>
        <w:t>C.</w:t>
      </w:r>
      <w:r>
        <w:rPr>
          <w:spacing w:val="-1"/>
        </w:rPr>
        <w:t> </w:t>
      </w:r>
      <w:r>
        <w:rPr/>
        <w:t>&amp;</w:t>
      </w:r>
      <w:r>
        <w:rPr>
          <w:spacing w:val="-6"/>
        </w:rPr>
        <w:t> </w:t>
      </w:r>
      <w:r>
        <w:rPr/>
        <w:t>Kincaid,</w:t>
      </w:r>
      <w:r>
        <w:rPr>
          <w:spacing w:val="-2"/>
        </w:rPr>
        <w:t> </w:t>
      </w:r>
      <w:r>
        <w:rPr/>
        <w:t>K.</w:t>
      </w:r>
      <w:r>
        <w:rPr>
          <w:spacing w:val="-5"/>
        </w:rPr>
        <w:t> </w:t>
      </w:r>
      <w:r>
        <w:rPr/>
        <w:t>(2006).</w:t>
      </w:r>
      <w:r>
        <w:rPr>
          <w:spacing w:val="-2"/>
        </w:rPr>
        <w:t> </w:t>
      </w:r>
      <w:r>
        <w:rPr/>
        <w:t>Using</w:t>
      </w:r>
      <w:r>
        <w:rPr>
          <w:spacing w:val="-5"/>
        </w:rPr>
        <w:t> </w:t>
      </w:r>
      <w:r>
        <w:rPr/>
        <w:t>community-based</w:t>
      </w:r>
      <w:r>
        <w:rPr>
          <w:spacing w:val="-2"/>
        </w:rPr>
        <w:t> </w:t>
      </w:r>
      <w:r>
        <w:rPr/>
        <w:t>participatory research and qualitative methods to assess health needs among seasonal farmworkers. </w:t>
      </w:r>
      <w:r>
        <w:rPr>
          <w:i/>
        </w:rPr>
        <w:t>American</w:t>
      </w:r>
      <w:r>
        <w:rPr>
          <w:i/>
        </w:rPr>
        <w:t> Journal of Health Education</w:t>
      </w:r>
      <w:r>
        <w:rPr/>
        <w:t>, </w:t>
      </w:r>
      <w:r>
        <w:rPr>
          <w:i/>
        </w:rPr>
        <w:t>37</w:t>
      </w:r>
      <w:r>
        <w:rPr/>
        <w:t>(5), 279-288.</w:t>
      </w:r>
    </w:p>
    <w:p>
      <w:pPr>
        <w:pStyle w:val="BodyText"/>
        <w:spacing w:line="252" w:lineRule="exact"/>
      </w:pPr>
      <w:r>
        <w:rPr/>
        <w:t>Edwards,</w:t>
      </w:r>
      <w:r>
        <w:rPr>
          <w:spacing w:val="-5"/>
        </w:rPr>
        <w:t> </w:t>
      </w:r>
      <w:r>
        <w:rPr/>
        <w:t>B.K.,</w:t>
      </w:r>
      <w:r>
        <w:rPr>
          <w:spacing w:val="-3"/>
        </w:rPr>
        <w:t> </w:t>
      </w:r>
      <w:r>
        <w:rPr/>
        <w:t>Brown,</w:t>
      </w:r>
      <w:r>
        <w:rPr>
          <w:spacing w:val="-3"/>
        </w:rPr>
        <w:t> </w:t>
      </w:r>
      <w:r>
        <w:rPr/>
        <w:t>M.L.,</w:t>
      </w:r>
      <w:r>
        <w:rPr>
          <w:spacing w:val="-3"/>
        </w:rPr>
        <w:t> </w:t>
      </w:r>
      <w:r>
        <w:rPr/>
        <w:t>Wingo,</w:t>
      </w:r>
      <w:r>
        <w:rPr>
          <w:spacing w:val="-3"/>
        </w:rPr>
        <w:t> </w:t>
      </w:r>
      <w:r>
        <w:rPr/>
        <w:t>P.A.,</w:t>
      </w:r>
      <w:r>
        <w:rPr>
          <w:spacing w:val="-3"/>
        </w:rPr>
        <w:t> </w:t>
      </w:r>
      <w:r>
        <w:rPr/>
        <w:t>Howe,</w:t>
      </w:r>
      <w:r>
        <w:rPr>
          <w:spacing w:val="-3"/>
        </w:rPr>
        <w:t> </w:t>
      </w:r>
      <w:r>
        <w:rPr/>
        <w:t>H.L.,</w:t>
      </w:r>
      <w:r>
        <w:rPr>
          <w:spacing w:val="-3"/>
        </w:rPr>
        <w:t> </w:t>
      </w:r>
      <w:r>
        <w:rPr/>
        <w:t>Ward,</w:t>
      </w:r>
      <w:r>
        <w:rPr>
          <w:spacing w:val="-3"/>
        </w:rPr>
        <w:t> </w:t>
      </w:r>
      <w:r>
        <w:rPr/>
        <w:t>E.,</w:t>
      </w:r>
      <w:r>
        <w:rPr>
          <w:spacing w:val="-3"/>
        </w:rPr>
        <w:t> </w:t>
      </w:r>
      <w:r>
        <w:rPr/>
        <w:t>Ries,</w:t>
      </w:r>
      <w:r>
        <w:rPr>
          <w:spacing w:val="-3"/>
        </w:rPr>
        <w:t> </w:t>
      </w:r>
      <w:r>
        <w:rPr/>
        <w:t>L.A.,</w:t>
      </w:r>
      <w:r>
        <w:rPr>
          <w:spacing w:val="-3"/>
        </w:rPr>
        <w:t> </w:t>
      </w:r>
      <w:r>
        <w:rPr/>
        <w:t>Schrag,</w:t>
      </w:r>
      <w:r>
        <w:rPr>
          <w:spacing w:val="-3"/>
        </w:rPr>
        <w:t> </w:t>
      </w:r>
      <w:r>
        <w:rPr/>
        <w:t>D.,</w:t>
      </w:r>
      <w:r>
        <w:rPr>
          <w:spacing w:val="-6"/>
        </w:rPr>
        <w:t> </w:t>
      </w:r>
      <w:r>
        <w:rPr/>
        <w:t>Jamison,</w:t>
      </w:r>
      <w:r>
        <w:rPr>
          <w:spacing w:val="-2"/>
        </w:rPr>
        <w:t> P.M.,</w:t>
      </w:r>
    </w:p>
    <w:p>
      <w:pPr>
        <w:pStyle w:val="BodyText"/>
        <w:ind w:left="840" w:right="116"/>
      </w:pPr>
      <w:r>
        <w:rPr/>
        <w:t>Jemal, A., Wu, X.C., Friedman, C., Harlan, L., Warren, J., Anderson, R.N., &amp; Pickle, L.W. (2005).</w:t>
      </w:r>
      <w:r>
        <w:rPr>
          <w:spacing w:val="-3"/>
        </w:rPr>
        <w:t> </w:t>
      </w:r>
      <w:r>
        <w:rPr/>
        <w:t>Annual</w:t>
      </w:r>
      <w:r>
        <w:rPr>
          <w:spacing w:val="-2"/>
        </w:rPr>
        <w:t> </w:t>
      </w:r>
      <w:r>
        <w:rPr/>
        <w:t>report</w:t>
      </w:r>
      <w:r>
        <w:rPr>
          <w:spacing w:val="-5"/>
        </w:rPr>
        <w:t> </w:t>
      </w:r>
      <w:r>
        <w:rPr/>
        <w:t>to</w:t>
      </w:r>
      <w:r>
        <w:rPr>
          <w:spacing w:val="-3"/>
        </w:rPr>
        <w:t> </w:t>
      </w:r>
      <w:r>
        <w:rPr/>
        <w:t>the</w:t>
      </w:r>
      <w:r>
        <w:rPr>
          <w:spacing w:val="-3"/>
        </w:rPr>
        <w:t> </w:t>
      </w:r>
      <w:r>
        <w:rPr/>
        <w:t>nation</w:t>
      </w:r>
      <w:r>
        <w:rPr>
          <w:spacing w:val="-3"/>
        </w:rPr>
        <w:t> </w:t>
      </w:r>
      <w:r>
        <w:rPr/>
        <w:t>on</w:t>
      </w:r>
      <w:r>
        <w:rPr>
          <w:spacing w:val="-3"/>
        </w:rPr>
        <w:t> </w:t>
      </w:r>
      <w:r>
        <w:rPr/>
        <w:t>the</w:t>
      </w:r>
      <w:r>
        <w:rPr>
          <w:spacing w:val="-3"/>
        </w:rPr>
        <w:t> </w:t>
      </w:r>
      <w:r>
        <w:rPr/>
        <w:t>status</w:t>
      </w:r>
      <w:r>
        <w:rPr>
          <w:spacing w:val="-3"/>
        </w:rPr>
        <w:t> </w:t>
      </w:r>
      <w:r>
        <w:rPr/>
        <w:t>of</w:t>
      </w:r>
      <w:r>
        <w:rPr>
          <w:spacing w:val="-3"/>
        </w:rPr>
        <w:t> </w:t>
      </w:r>
      <w:r>
        <w:rPr/>
        <w:t>cancer,</w:t>
      </w:r>
      <w:r>
        <w:rPr>
          <w:spacing w:val="-3"/>
        </w:rPr>
        <w:t> </w:t>
      </w:r>
      <w:r>
        <w:rPr/>
        <w:t>1975-2002,</w:t>
      </w:r>
      <w:r>
        <w:rPr>
          <w:spacing w:val="-3"/>
        </w:rPr>
        <w:t> </w:t>
      </w:r>
      <w:r>
        <w:rPr/>
        <w:t>featuring</w:t>
      </w:r>
      <w:r>
        <w:rPr>
          <w:spacing w:val="-6"/>
        </w:rPr>
        <w:t> </w:t>
      </w:r>
      <w:r>
        <w:rPr/>
        <w:t>population-based trends in cancer treatment. </w:t>
      </w:r>
      <w:r>
        <w:rPr>
          <w:i/>
        </w:rPr>
        <w:t>Journal of the National Cancer Institute</w:t>
      </w:r>
      <w:r>
        <w:rPr/>
        <w:t>, </w:t>
      </w:r>
      <w:r>
        <w:rPr>
          <w:i/>
        </w:rPr>
        <w:t>97</w:t>
      </w:r>
      <w:r>
        <w:rPr/>
        <w:t>(19), 1407-1427.</w:t>
      </w:r>
    </w:p>
    <w:p>
      <w:pPr>
        <w:spacing w:before="1"/>
        <w:ind w:left="840" w:right="188" w:hanging="720"/>
        <w:jc w:val="left"/>
        <w:rPr>
          <w:sz w:val="22"/>
        </w:rPr>
      </w:pPr>
      <w:r>
        <w:rPr>
          <w:sz w:val="22"/>
        </w:rPr>
        <w:t>Farrell,</w:t>
      </w:r>
      <w:r>
        <w:rPr>
          <w:spacing w:val="-3"/>
          <w:sz w:val="22"/>
        </w:rPr>
        <w:t> </w:t>
      </w:r>
      <w:r>
        <w:rPr>
          <w:sz w:val="22"/>
        </w:rPr>
        <w:t>D.A.</w:t>
      </w:r>
      <w:r>
        <w:rPr>
          <w:spacing w:val="-3"/>
          <w:sz w:val="22"/>
        </w:rPr>
        <w:t> </w:t>
      </w:r>
      <w:r>
        <w:rPr>
          <w:sz w:val="22"/>
        </w:rPr>
        <w:t>(1991).</w:t>
      </w:r>
      <w:r>
        <w:rPr>
          <w:spacing w:val="-2"/>
          <w:sz w:val="22"/>
        </w:rPr>
        <w:t> </w:t>
      </w:r>
      <w:r>
        <w:rPr>
          <w:i/>
          <w:sz w:val="22"/>
        </w:rPr>
        <w:t>History</w:t>
      </w:r>
      <w:r>
        <w:rPr>
          <w:i/>
          <w:spacing w:val="-3"/>
          <w:sz w:val="22"/>
        </w:rPr>
        <w:t> </w:t>
      </w:r>
      <w:r>
        <w:rPr>
          <w:i/>
          <w:sz w:val="22"/>
        </w:rPr>
        <w:t>of</w:t>
      </w:r>
      <w:r>
        <w:rPr>
          <w:i/>
          <w:spacing w:val="-4"/>
          <w:sz w:val="22"/>
        </w:rPr>
        <w:t> </w:t>
      </w:r>
      <w:r>
        <w:rPr>
          <w:i/>
          <w:sz w:val="22"/>
        </w:rPr>
        <w:t>the</w:t>
      </w:r>
      <w:r>
        <w:rPr>
          <w:i/>
          <w:spacing w:val="-3"/>
          <w:sz w:val="22"/>
        </w:rPr>
        <w:t> </w:t>
      </w:r>
      <w:r>
        <w:rPr>
          <w:i/>
          <w:sz w:val="22"/>
        </w:rPr>
        <w:t>Northern</w:t>
      </w:r>
      <w:r>
        <w:rPr>
          <w:i/>
          <w:spacing w:val="-5"/>
          <w:sz w:val="22"/>
        </w:rPr>
        <w:t> </w:t>
      </w:r>
      <w:r>
        <w:rPr>
          <w:i/>
          <w:sz w:val="22"/>
        </w:rPr>
        <w:t>Mariana</w:t>
      </w:r>
      <w:r>
        <w:rPr>
          <w:i/>
          <w:spacing w:val="-5"/>
          <w:sz w:val="22"/>
        </w:rPr>
        <w:t> </w:t>
      </w:r>
      <w:r>
        <w:rPr>
          <w:i/>
          <w:sz w:val="22"/>
        </w:rPr>
        <w:t>Islands</w:t>
      </w:r>
      <w:r>
        <w:rPr>
          <w:sz w:val="22"/>
        </w:rPr>
        <w:t>,</w:t>
      </w:r>
      <w:r>
        <w:rPr>
          <w:spacing w:val="-3"/>
          <w:sz w:val="22"/>
        </w:rPr>
        <w:t> </w:t>
      </w:r>
      <w:r>
        <w:rPr>
          <w:sz w:val="22"/>
        </w:rPr>
        <w:t>1st</w:t>
      </w:r>
      <w:r>
        <w:rPr>
          <w:spacing w:val="-2"/>
          <w:sz w:val="22"/>
        </w:rPr>
        <w:t> </w:t>
      </w:r>
      <w:r>
        <w:rPr>
          <w:sz w:val="22"/>
        </w:rPr>
        <w:t>Edition</w:t>
      </w:r>
      <w:r>
        <w:rPr>
          <w:i/>
          <w:sz w:val="22"/>
        </w:rPr>
        <w:t>.</w:t>
      </w:r>
      <w:r>
        <w:rPr>
          <w:i/>
          <w:spacing w:val="-3"/>
          <w:sz w:val="22"/>
        </w:rPr>
        <w:t> </w:t>
      </w:r>
      <w:r>
        <w:rPr>
          <w:sz w:val="22"/>
        </w:rPr>
        <w:t>CNMI:</w:t>
      </w:r>
      <w:r>
        <w:rPr>
          <w:spacing w:val="-2"/>
          <w:sz w:val="22"/>
        </w:rPr>
        <w:t> </w:t>
      </w:r>
      <w:r>
        <w:rPr>
          <w:sz w:val="22"/>
        </w:rPr>
        <w:t>Public</w:t>
      </w:r>
      <w:r>
        <w:rPr>
          <w:spacing w:val="-3"/>
          <w:sz w:val="22"/>
        </w:rPr>
        <w:t> </w:t>
      </w:r>
      <w:r>
        <w:rPr>
          <w:sz w:val="22"/>
        </w:rPr>
        <w:t>School</w:t>
      </w:r>
      <w:r>
        <w:rPr>
          <w:spacing w:val="-2"/>
          <w:sz w:val="22"/>
        </w:rPr>
        <w:t> </w:t>
      </w:r>
      <w:r>
        <w:rPr>
          <w:sz w:val="22"/>
        </w:rPr>
        <w:t>System of the Commonwealth of the Northern Mariana Islands.</w:t>
      </w:r>
    </w:p>
    <w:p>
      <w:pPr>
        <w:pStyle w:val="BodyText"/>
        <w:ind w:left="840" w:right="644" w:hanging="720"/>
      </w:pPr>
      <w:r>
        <w:rPr/>
        <w:t>Freeman,</w:t>
      </w:r>
      <w:r>
        <w:rPr>
          <w:spacing w:val="-2"/>
        </w:rPr>
        <w:t> </w:t>
      </w:r>
      <w:r>
        <w:rPr/>
        <w:t>H.P.,</w:t>
      </w:r>
      <w:r>
        <w:rPr>
          <w:spacing w:val="-2"/>
        </w:rPr>
        <w:t> </w:t>
      </w:r>
      <w:r>
        <w:rPr/>
        <w:t>Muth,</w:t>
      </w:r>
      <w:r>
        <w:rPr>
          <w:spacing w:val="-2"/>
        </w:rPr>
        <w:t> </w:t>
      </w:r>
      <w:r>
        <w:rPr/>
        <w:t>B.J.,</w:t>
      </w:r>
      <w:r>
        <w:rPr>
          <w:spacing w:val="-3"/>
        </w:rPr>
        <w:t> </w:t>
      </w:r>
      <w:r>
        <w:rPr/>
        <w:t>&amp;</w:t>
      </w:r>
      <w:r>
        <w:rPr>
          <w:spacing w:val="-4"/>
        </w:rPr>
        <w:t> </w:t>
      </w:r>
      <w:r>
        <w:rPr/>
        <w:t>Kerner,</w:t>
      </w:r>
      <w:r>
        <w:rPr>
          <w:spacing w:val="-5"/>
        </w:rPr>
        <w:t> </w:t>
      </w:r>
      <w:r>
        <w:rPr/>
        <w:t>J.F.</w:t>
      </w:r>
      <w:r>
        <w:rPr>
          <w:spacing w:val="-4"/>
        </w:rPr>
        <w:t> </w:t>
      </w:r>
      <w:r>
        <w:rPr/>
        <w:t>(1995).</w:t>
      </w:r>
      <w:r>
        <w:rPr>
          <w:spacing w:val="-2"/>
        </w:rPr>
        <w:t> </w:t>
      </w:r>
      <w:r>
        <w:rPr/>
        <w:t>Expanding</w:t>
      </w:r>
      <w:r>
        <w:rPr>
          <w:spacing w:val="-5"/>
        </w:rPr>
        <w:t> </w:t>
      </w:r>
      <w:r>
        <w:rPr/>
        <w:t>access</w:t>
      </w:r>
      <w:r>
        <w:rPr>
          <w:spacing w:val="-4"/>
        </w:rPr>
        <w:t> </w:t>
      </w:r>
      <w:r>
        <w:rPr/>
        <w:t>to</w:t>
      </w:r>
      <w:r>
        <w:rPr>
          <w:spacing w:val="-5"/>
        </w:rPr>
        <w:t> </w:t>
      </w:r>
      <w:r>
        <w:rPr/>
        <w:t>cancer</w:t>
      </w:r>
      <w:r>
        <w:rPr>
          <w:spacing w:val="-4"/>
        </w:rPr>
        <w:t> </w:t>
      </w:r>
      <w:r>
        <w:rPr/>
        <w:t>screening</w:t>
      </w:r>
      <w:r>
        <w:rPr>
          <w:spacing w:val="-5"/>
        </w:rPr>
        <w:t> </w:t>
      </w:r>
      <w:r>
        <w:rPr/>
        <w:t>and</w:t>
      </w:r>
      <w:r>
        <w:rPr>
          <w:spacing w:val="-4"/>
        </w:rPr>
        <w:t> </w:t>
      </w:r>
      <w:r>
        <w:rPr/>
        <w:t>clinical follow-up among the medically underserved. </w:t>
      </w:r>
      <w:r>
        <w:rPr>
          <w:i/>
        </w:rPr>
        <w:t>Cancer Practice, </w:t>
      </w:r>
      <w:r>
        <w:rPr/>
        <w:t>3(1), 19-30.</w:t>
      </w:r>
    </w:p>
    <w:p>
      <w:pPr>
        <w:pStyle w:val="BodyText"/>
      </w:pPr>
      <w:r>
        <w:rPr/>
        <w:t>Freeman,</w:t>
      </w:r>
      <w:r>
        <w:rPr>
          <w:spacing w:val="-6"/>
        </w:rPr>
        <w:t> </w:t>
      </w:r>
      <w:r>
        <w:rPr/>
        <w:t>H.P.</w:t>
      </w:r>
      <w:r>
        <w:rPr>
          <w:spacing w:val="-4"/>
        </w:rPr>
        <w:t> </w:t>
      </w:r>
      <w:r>
        <w:rPr/>
        <w:t>(2006).</w:t>
      </w:r>
      <w:r>
        <w:rPr>
          <w:spacing w:val="-4"/>
        </w:rPr>
        <w:t> </w:t>
      </w:r>
      <w:r>
        <w:rPr/>
        <w:t>Patient</w:t>
      </w:r>
      <w:r>
        <w:rPr>
          <w:spacing w:val="-3"/>
        </w:rPr>
        <w:t> </w:t>
      </w:r>
      <w:r>
        <w:rPr/>
        <w:t>navigation:</w:t>
      </w:r>
      <w:r>
        <w:rPr>
          <w:spacing w:val="-3"/>
        </w:rPr>
        <w:t> </w:t>
      </w:r>
      <w:r>
        <w:rPr/>
        <w:t>a</w:t>
      </w:r>
      <w:r>
        <w:rPr>
          <w:spacing w:val="-4"/>
        </w:rPr>
        <w:t> </w:t>
      </w:r>
      <w:r>
        <w:rPr/>
        <w:t>community</w:t>
      </w:r>
      <w:r>
        <w:rPr>
          <w:spacing w:val="-6"/>
        </w:rPr>
        <w:t> </w:t>
      </w:r>
      <w:r>
        <w:rPr/>
        <w:t>centered</w:t>
      </w:r>
      <w:r>
        <w:rPr>
          <w:spacing w:val="-4"/>
        </w:rPr>
        <w:t> </w:t>
      </w:r>
      <w:r>
        <w:rPr/>
        <w:t>approach</w:t>
      </w:r>
      <w:r>
        <w:rPr>
          <w:spacing w:val="-6"/>
        </w:rPr>
        <w:t> </w:t>
      </w:r>
      <w:r>
        <w:rPr/>
        <w:t>to</w:t>
      </w:r>
      <w:r>
        <w:rPr>
          <w:spacing w:val="-4"/>
        </w:rPr>
        <w:t> </w:t>
      </w:r>
      <w:r>
        <w:rPr/>
        <w:t>reducing</w:t>
      </w:r>
      <w:r>
        <w:rPr>
          <w:spacing w:val="-7"/>
        </w:rPr>
        <w:t> </w:t>
      </w:r>
      <w:r>
        <w:rPr/>
        <w:t>cancer</w:t>
      </w:r>
      <w:r>
        <w:rPr>
          <w:spacing w:val="-2"/>
        </w:rPr>
        <w:t> mortality.</w:t>
      </w:r>
    </w:p>
    <w:p>
      <w:pPr>
        <w:spacing w:line="252" w:lineRule="exact" w:before="0"/>
        <w:ind w:left="840" w:right="0" w:firstLine="0"/>
        <w:jc w:val="left"/>
        <w:rPr>
          <w:sz w:val="22"/>
        </w:rPr>
      </w:pPr>
      <w:r>
        <w:rPr>
          <w:i/>
          <w:sz w:val="22"/>
        </w:rPr>
        <w:t>Journal</w:t>
      </w:r>
      <w:r>
        <w:rPr>
          <w:i/>
          <w:spacing w:val="-4"/>
          <w:sz w:val="22"/>
        </w:rPr>
        <w:t> </w:t>
      </w:r>
      <w:r>
        <w:rPr>
          <w:i/>
          <w:sz w:val="22"/>
        </w:rPr>
        <w:t>of</w:t>
      </w:r>
      <w:r>
        <w:rPr>
          <w:i/>
          <w:spacing w:val="-3"/>
          <w:sz w:val="22"/>
        </w:rPr>
        <w:t> </w:t>
      </w:r>
      <w:r>
        <w:rPr>
          <w:i/>
          <w:sz w:val="22"/>
        </w:rPr>
        <w:t>Cancer</w:t>
      </w:r>
      <w:r>
        <w:rPr>
          <w:i/>
          <w:spacing w:val="-4"/>
          <w:sz w:val="22"/>
        </w:rPr>
        <w:t> </w:t>
      </w:r>
      <w:r>
        <w:rPr>
          <w:i/>
          <w:sz w:val="22"/>
        </w:rPr>
        <w:t>Education</w:t>
      </w:r>
      <w:r>
        <w:rPr>
          <w:sz w:val="22"/>
        </w:rPr>
        <w:t>,</w:t>
      </w:r>
      <w:r>
        <w:rPr>
          <w:spacing w:val="-4"/>
          <w:sz w:val="22"/>
        </w:rPr>
        <w:t> </w:t>
      </w:r>
      <w:r>
        <w:rPr>
          <w:i/>
          <w:sz w:val="22"/>
        </w:rPr>
        <w:t>21</w:t>
      </w:r>
      <w:r>
        <w:rPr>
          <w:sz w:val="22"/>
        </w:rPr>
        <w:t>(1</w:t>
      </w:r>
      <w:r>
        <w:rPr>
          <w:spacing w:val="-7"/>
          <w:sz w:val="22"/>
        </w:rPr>
        <w:t> </w:t>
      </w:r>
      <w:r>
        <w:rPr>
          <w:sz w:val="22"/>
        </w:rPr>
        <w:t>Suppl),</w:t>
      </w:r>
      <w:r>
        <w:rPr>
          <w:spacing w:val="-4"/>
          <w:sz w:val="22"/>
        </w:rPr>
        <w:t> </w:t>
      </w:r>
      <w:r>
        <w:rPr>
          <w:sz w:val="22"/>
        </w:rPr>
        <w:t>S11-</w:t>
      </w:r>
      <w:r>
        <w:rPr>
          <w:spacing w:val="-5"/>
          <w:sz w:val="22"/>
        </w:rPr>
        <w:t>14.</w:t>
      </w:r>
    </w:p>
    <w:p>
      <w:pPr>
        <w:pStyle w:val="BodyText"/>
        <w:spacing w:line="252" w:lineRule="exact"/>
      </w:pPr>
      <w:r>
        <w:rPr/>
        <w:t>Glanz</w:t>
      </w:r>
      <w:r>
        <w:rPr>
          <w:spacing w:val="-7"/>
        </w:rPr>
        <w:t> </w:t>
      </w:r>
      <w:r>
        <w:rPr/>
        <w:t>K.,</w:t>
      </w:r>
      <w:r>
        <w:rPr>
          <w:spacing w:val="-3"/>
        </w:rPr>
        <w:t> </w:t>
      </w:r>
      <w:r>
        <w:rPr/>
        <w:t>Croyle,</w:t>
      </w:r>
      <w:r>
        <w:rPr>
          <w:spacing w:val="-3"/>
        </w:rPr>
        <w:t> </w:t>
      </w:r>
      <w:r>
        <w:rPr/>
        <w:t>R.T.,</w:t>
      </w:r>
      <w:r>
        <w:rPr>
          <w:spacing w:val="-3"/>
        </w:rPr>
        <w:t> </w:t>
      </w:r>
      <w:r>
        <w:rPr/>
        <w:t>Cholette,</w:t>
      </w:r>
      <w:r>
        <w:rPr>
          <w:spacing w:val="-5"/>
        </w:rPr>
        <w:t> </w:t>
      </w:r>
      <w:r>
        <w:rPr/>
        <w:t>V.Y.,</w:t>
      </w:r>
      <w:r>
        <w:rPr>
          <w:spacing w:val="-1"/>
        </w:rPr>
        <w:t> </w:t>
      </w:r>
      <w:r>
        <w:rPr/>
        <w:t>&amp;</w:t>
      </w:r>
      <w:r>
        <w:rPr>
          <w:spacing w:val="-5"/>
        </w:rPr>
        <w:t> </w:t>
      </w:r>
      <w:r>
        <w:rPr/>
        <w:t>Pinn,</w:t>
      </w:r>
      <w:r>
        <w:rPr>
          <w:spacing w:val="-6"/>
        </w:rPr>
        <w:t> </w:t>
      </w:r>
      <w:r>
        <w:rPr/>
        <w:t>V.</w:t>
      </w:r>
      <w:r>
        <w:rPr>
          <w:spacing w:val="-6"/>
        </w:rPr>
        <w:t> </w:t>
      </w:r>
      <w:r>
        <w:rPr/>
        <w:t>(2003).</w:t>
      </w:r>
      <w:r>
        <w:rPr>
          <w:spacing w:val="-3"/>
        </w:rPr>
        <w:t> </w:t>
      </w:r>
      <w:r>
        <w:rPr/>
        <w:t>Cancer-related</w:t>
      </w:r>
      <w:r>
        <w:rPr>
          <w:spacing w:val="-5"/>
        </w:rPr>
        <w:t> </w:t>
      </w:r>
      <w:r>
        <w:rPr/>
        <w:t>health</w:t>
      </w:r>
      <w:r>
        <w:rPr>
          <w:spacing w:val="-3"/>
        </w:rPr>
        <w:t> </w:t>
      </w:r>
      <w:r>
        <w:rPr/>
        <w:t>disparities</w:t>
      </w:r>
      <w:r>
        <w:rPr>
          <w:spacing w:val="-5"/>
        </w:rPr>
        <w:t> </w:t>
      </w:r>
      <w:r>
        <w:rPr/>
        <w:t>in</w:t>
      </w:r>
      <w:r>
        <w:rPr>
          <w:spacing w:val="-2"/>
        </w:rPr>
        <w:t> women.</w:t>
      </w:r>
    </w:p>
    <w:p>
      <w:pPr>
        <w:spacing w:line="252" w:lineRule="exact" w:before="0"/>
        <w:ind w:left="840" w:right="0" w:firstLine="0"/>
        <w:jc w:val="left"/>
        <w:rPr>
          <w:sz w:val="22"/>
        </w:rPr>
      </w:pPr>
      <w:r>
        <w:rPr>
          <w:i/>
          <w:sz w:val="22"/>
        </w:rPr>
        <w:t>American</w:t>
      </w:r>
      <w:r>
        <w:rPr>
          <w:i/>
          <w:spacing w:val="-4"/>
          <w:sz w:val="22"/>
        </w:rPr>
        <w:t> </w:t>
      </w:r>
      <w:r>
        <w:rPr>
          <w:i/>
          <w:sz w:val="22"/>
        </w:rPr>
        <w:t>Journal</w:t>
      </w:r>
      <w:r>
        <w:rPr>
          <w:i/>
          <w:spacing w:val="-5"/>
          <w:sz w:val="22"/>
        </w:rPr>
        <w:t> </w:t>
      </w:r>
      <w:r>
        <w:rPr>
          <w:i/>
          <w:sz w:val="22"/>
        </w:rPr>
        <w:t>of</w:t>
      </w:r>
      <w:r>
        <w:rPr>
          <w:i/>
          <w:spacing w:val="-3"/>
          <w:sz w:val="22"/>
        </w:rPr>
        <w:t> </w:t>
      </w:r>
      <w:r>
        <w:rPr>
          <w:i/>
          <w:sz w:val="22"/>
        </w:rPr>
        <w:t>Public</w:t>
      </w:r>
      <w:r>
        <w:rPr>
          <w:i/>
          <w:spacing w:val="-6"/>
          <w:sz w:val="22"/>
        </w:rPr>
        <w:t> </w:t>
      </w:r>
      <w:r>
        <w:rPr>
          <w:i/>
          <w:sz w:val="22"/>
        </w:rPr>
        <w:t>Health</w:t>
      </w:r>
      <w:r>
        <w:rPr>
          <w:sz w:val="22"/>
        </w:rPr>
        <w:t>,</w:t>
      </w:r>
      <w:r>
        <w:rPr>
          <w:spacing w:val="-4"/>
          <w:sz w:val="22"/>
        </w:rPr>
        <w:t> </w:t>
      </w:r>
      <w:r>
        <w:rPr>
          <w:i/>
          <w:sz w:val="22"/>
        </w:rPr>
        <w:t>93</w:t>
      </w:r>
      <w:r>
        <w:rPr>
          <w:sz w:val="22"/>
        </w:rPr>
        <w:t>(2),</w:t>
      </w:r>
      <w:r>
        <w:rPr>
          <w:spacing w:val="-3"/>
          <w:sz w:val="22"/>
        </w:rPr>
        <w:t> </w:t>
      </w:r>
      <w:r>
        <w:rPr>
          <w:sz w:val="22"/>
        </w:rPr>
        <w:t>292-</w:t>
      </w:r>
      <w:r>
        <w:rPr>
          <w:spacing w:val="-4"/>
          <w:sz w:val="22"/>
        </w:rPr>
        <w:t>298.</w:t>
      </w:r>
    </w:p>
    <w:p>
      <w:pPr>
        <w:pStyle w:val="BodyText"/>
        <w:spacing w:before="2"/>
        <w:ind w:left="840" w:right="230" w:hanging="720"/>
        <w:jc w:val="both"/>
      </w:pPr>
      <w:r>
        <w:rPr/>
        <w:t>Goggins, W.B., &amp;</w:t>
      </w:r>
      <w:r>
        <w:rPr>
          <w:spacing w:val="-2"/>
        </w:rPr>
        <w:t> </w:t>
      </w:r>
      <w:r>
        <w:rPr/>
        <w:t>Wong, G.K.C. (2007).</w:t>
      </w:r>
      <w:r>
        <w:rPr>
          <w:spacing w:val="-1"/>
        </w:rPr>
        <w:t> </w:t>
      </w:r>
      <w:r>
        <w:rPr/>
        <w:t>Poor</w:t>
      </w:r>
      <w:r>
        <w:rPr>
          <w:spacing w:val="-2"/>
        </w:rPr>
        <w:t> </w:t>
      </w:r>
      <w:r>
        <w:rPr/>
        <w:t>survival for US Pacific</w:t>
      </w:r>
      <w:r>
        <w:rPr>
          <w:spacing w:val="-2"/>
        </w:rPr>
        <w:t> </w:t>
      </w:r>
      <w:r>
        <w:rPr/>
        <w:t>Islander</w:t>
      </w:r>
      <w:r>
        <w:rPr>
          <w:spacing w:val="-2"/>
        </w:rPr>
        <w:t> </w:t>
      </w:r>
      <w:r>
        <w:rPr/>
        <w:t>cancer patients: evidence from</w:t>
      </w:r>
      <w:r>
        <w:rPr>
          <w:spacing w:val="-7"/>
        </w:rPr>
        <w:t> </w:t>
      </w:r>
      <w:r>
        <w:rPr/>
        <w:t>the</w:t>
      </w:r>
      <w:r>
        <w:rPr>
          <w:spacing w:val="-3"/>
        </w:rPr>
        <w:t> </w:t>
      </w:r>
      <w:r>
        <w:rPr/>
        <w:t>Surveillance,</w:t>
      </w:r>
      <w:r>
        <w:rPr>
          <w:spacing w:val="-3"/>
        </w:rPr>
        <w:t> </w:t>
      </w:r>
      <w:r>
        <w:rPr/>
        <w:t>Epidemiology,</w:t>
      </w:r>
      <w:r>
        <w:rPr>
          <w:spacing w:val="-3"/>
        </w:rPr>
        <w:t> </w:t>
      </w:r>
      <w:r>
        <w:rPr/>
        <w:t>and</w:t>
      </w:r>
      <w:r>
        <w:rPr>
          <w:spacing w:val="-3"/>
        </w:rPr>
        <w:t> </w:t>
      </w:r>
      <w:r>
        <w:rPr/>
        <w:t>End</w:t>
      </w:r>
      <w:r>
        <w:rPr>
          <w:spacing w:val="-3"/>
        </w:rPr>
        <w:t> </w:t>
      </w:r>
      <w:r>
        <w:rPr/>
        <w:t>Results</w:t>
      </w:r>
      <w:r>
        <w:rPr>
          <w:spacing w:val="-5"/>
        </w:rPr>
        <w:t> </w:t>
      </w:r>
      <w:r>
        <w:rPr/>
        <w:t>database:</w:t>
      </w:r>
      <w:r>
        <w:rPr>
          <w:spacing w:val="-2"/>
        </w:rPr>
        <w:t> </w:t>
      </w:r>
      <w:r>
        <w:rPr/>
        <w:t>1991-2004.</w:t>
      </w:r>
      <w:r>
        <w:rPr>
          <w:spacing w:val="-3"/>
        </w:rPr>
        <w:t> </w:t>
      </w:r>
      <w:r>
        <w:rPr>
          <w:i/>
        </w:rPr>
        <w:t>Journal</w:t>
      </w:r>
      <w:r>
        <w:rPr>
          <w:i/>
          <w:spacing w:val="-2"/>
        </w:rPr>
        <w:t> </w:t>
      </w:r>
      <w:r>
        <w:rPr>
          <w:i/>
        </w:rPr>
        <w:t>of</w:t>
      </w:r>
      <w:r>
        <w:rPr>
          <w:i/>
          <w:spacing w:val="40"/>
        </w:rPr>
        <w:t> </w:t>
      </w:r>
      <w:r>
        <w:rPr>
          <w:i/>
        </w:rPr>
        <w:t>Clinical</w:t>
      </w:r>
      <w:r>
        <w:rPr>
          <w:i/>
        </w:rPr>
        <w:t> Oncology</w:t>
      </w:r>
      <w:r>
        <w:rPr/>
        <w:t>, </w:t>
      </w:r>
      <w:r>
        <w:rPr>
          <w:i/>
        </w:rPr>
        <w:t>25</w:t>
      </w:r>
      <w:r>
        <w:rPr/>
        <w:t>(36), 5738-5741.</w:t>
      </w:r>
    </w:p>
    <w:p>
      <w:pPr>
        <w:spacing w:before="0"/>
        <w:ind w:left="840" w:right="0" w:hanging="720"/>
        <w:jc w:val="left"/>
        <w:rPr>
          <w:sz w:val="22"/>
        </w:rPr>
      </w:pPr>
      <w:r>
        <w:rPr>
          <w:sz w:val="22"/>
        </w:rPr>
        <w:t>Greene-Moton E., Palermo A.G., Flicker, S., &amp; R. Travers. (2006). Unit 4,</w:t>
      </w:r>
      <w:r>
        <w:rPr>
          <w:spacing w:val="-2"/>
          <w:sz w:val="22"/>
        </w:rPr>
        <w:t> </w:t>
      </w:r>
      <w:r>
        <w:rPr>
          <w:sz w:val="22"/>
        </w:rPr>
        <w:t>Trust and Communication in</w:t>
      </w:r>
      <w:r>
        <w:rPr>
          <w:spacing w:val="-2"/>
          <w:sz w:val="22"/>
        </w:rPr>
        <w:t> </w:t>
      </w:r>
      <w:r>
        <w:rPr>
          <w:sz w:val="22"/>
        </w:rPr>
        <w:t>a CBPR Partnership: Spreading the Glue and Having it Stick, in The Examining Community- Institutional</w:t>
      </w:r>
      <w:r>
        <w:rPr>
          <w:spacing w:val="-3"/>
          <w:sz w:val="22"/>
        </w:rPr>
        <w:t> </w:t>
      </w:r>
      <w:r>
        <w:rPr>
          <w:sz w:val="22"/>
        </w:rPr>
        <w:t>Partnerships</w:t>
      </w:r>
      <w:r>
        <w:rPr>
          <w:spacing w:val="-4"/>
          <w:sz w:val="22"/>
        </w:rPr>
        <w:t> </w:t>
      </w:r>
      <w:r>
        <w:rPr>
          <w:sz w:val="22"/>
        </w:rPr>
        <w:t>for</w:t>
      </w:r>
      <w:r>
        <w:rPr>
          <w:spacing w:val="-4"/>
          <w:sz w:val="22"/>
        </w:rPr>
        <w:t> </w:t>
      </w:r>
      <w:r>
        <w:rPr>
          <w:sz w:val="22"/>
        </w:rPr>
        <w:t>Prevention</w:t>
      </w:r>
      <w:r>
        <w:rPr>
          <w:spacing w:val="-2"/>
          <w:sz w:val="22"/>
        </w:rPr>
        <w:t> </w:t>
      </w:r>
      <w:r>
        <w:rPr>
          <w:sz w:val="22"/>
        </w:rPr>
        <w:t>Research</w:t>
      </w:r>
      <w:r>
        <w:rPr>
          <w:spacing w:val="-4"/>
          <w:sz w:val="22"/>
        </w:rPr>
        <w:t> </w:t>
      </w:r>
      <w:r>
        <w:rPr>
          <w:sz w:val="22"/>
        </w:rPr>
        <w:t>Group.</w:t>
      </w:r>
      <w:r>
        <w:rPr>
          <w:spacing w:val="-3"/>
          <w:sz w:val="22"/>
        </w:rPr>
        <w:t> </w:t>
      </w:r>
      <w:r>
        <w:rPr>
          <w:i/>
          <w:sz w:val="22"/>
        </w:rPr>
        <w:t>Developing</w:t>
      </w:r>
      <w:r>
        <w:rPr>
          <w:i/>
          <w:spacing w:val="-4"/>
          <w:sz w:val="22"/>
        </w:rPr>
        <w:t> </w:t>
      </w:r>
      <w:r>
        <w:rPr>
          <w:i/>
          <w:sz w:val="22"/>
        </w:rPr>
        <w:t>and</w:t>
      </w:r>
      <w:r>
        <w:rPr>
          <w:i/>
          <w:spacing w:val="-7"/>
          <w:sz w:val="22"/>
        </w:rPr>
        <w:t> </w:t>
      </w:r>
      <w:r>
        <w:rPr>
          <w:i/>
          <w:sz w:val="22"/>
        </w:rPr>
        <w:t>Sustaining</w:t>
      </w:r>
      <w:r>
        <w:rPr>
          <w:i/>
          <w:spacing w:val="-4"/>
          <w:sz w:val="22"/>
        </w:rPr>
        <w:t> </w:t>
      </w:r>
      <w:r>
        <w:rPr>
          <w:i/>
          <w:sz w:val="22"/>
        </w:rPr>
        <w:t>Community-</w:t>
      </w:r>
      <w:r>
        <w:rPr>
          <w:i/>
          <w:sz w:val="22"/>
        </w:rPr>
        <w:t> Based Participatory Research Partnerships: A Skill-Building Curriculum</w:t>
      </w:r>
      <w:r>
        <w:rPr>
          <w:sz w:val="22"/>
        </w:rPr>
        <w:t>. Retrieved from: </w:t>
      </w:r>
      <w:hyperlink r:id="rId8">
        <w:r>
          <w:rPr>
            <w:spacing w:val="-2"/>
            <w:sz w:val="22"/>
          </w:rPr>
          <w:t>www.cbprcurriculum.info.</w:t>
        </w:r>
      </w:hyperlink>
    </w:p>
    <w:p>
      <w:pPr>
        <w:pStyle w:val="BodyText"/>
        <w:ind w:left="840" w:hanging="720"/>
      </w:pPr>
      <w:r>
        <w:rPr/>
        <w:t>Hoyert, D.L., &amp; Kung, H.C. (1997). Asian or Pacific Islander Mortality, Selected States, 1992. </w:t>
      </w:r>
      <w:r>
        <w:rPr>
          <w:i/>
        </w:rPr>
        <w:t>Monthly</w:t>
      </w:r>
      <w:r>
        <w:rPr>
          <w:i/>
        </w:rPr>
        <w:t> Vital</w:t>
      </w:r>
      <w:r>
        <w:rPr>
          <w:i/>
          <w:spacing w:val="-3"/>
        </w:rPr>
        <w:t> </w:t>
      </w:r>
      <w:r>
        <w:rPr>
          <w:i/>
        </w:rPr>
        <w:t>Statistics</w:t>
      </w:r>
      <w:r>
        <w:rPr>
          <w:i/>
          <w:spacing w:val="-4"/>
        </w:rPr>
        <w:t> </w:t>
      </w:r>
      <w:r>
        <w:rPr>
          <w:i/>
        </w:rPr>
        <w:t>Report</w:t>
      </w:r>
      <w:r>
        <w:rPr/>
        <w:t>,</w:t>
      </w:r>
      <w:r>
        <w:rPr>
          <w:spacing w:val="-7"/>
        </w:rPr>
        <w:t> </w:t>
      </w:r>
      <w:r>
        <w:rPr/>
        <w:t>46(1):Supplement.</w:t>
      </w:r>
      <w:r>
        <w:rPr>
          <w:spacing w:val="-4"/>
        </w:rPr>
        <w:t> </w:t>
      </w:r>
      <w:r>
        <w:rPr/>
        <w:t>Hyattsville,</w:t>
      </w:r>
      <w:r>
        <w:rPr>
          <w:spacing w:val="-6"/>
        </w:rPr>
        <w:t> </w:t>
      </w:r>
      <w:r>
        <w:rPr/>
        <w:t>MD,</w:t>
      </w:r>
      <w:r>
        <w:rPr>
          <w:spacing w:val="-4"/>
        </w:rPr>
        <w:t> </w:t>
      </w:r>
      <w:r>
        <w:rPr/>
        <w:t>National</w:t>
      </w:r>
      <w:r>
        <w:rPr>
          <w:spacing w:val="-3"/>
        </w:rPr>
        <w:t> </w:t>
      </w:r>
      <w:r>
        <w:rPr/>
        <w:t>Center</w:t>
      </w:r>
      <w:r>
        <w:rPr>
          <w:spacing w:val="-4"/>
        </w:rPr>
        <w:t> </w:t>
      </w:r>
      <w:r>
        <w:rPr/>
        <w:t>for Health</w:t>
      </w:r>
      <w:r>
        <w:rPr>
          <w:spacing w:val="-4"/>
        </w:rPr>
        <w:t> </w:t>
      </w:r>
      <w:r>
        <w:rPr/>
        <w:t>Statistics.</w:t>
      </w:r>
    </w:p>
    <w:p>
      <w:pPr>
        <w:pStyle w:val="BodyText"/>
        <w:ind w:left="840" w:right="302" w:hanging="720"/>
      </w:pPr>
      <w:r>
        <w:rPr/>
        <w:t>Israel, B.A., Schulz, A.J., Parker, E.A., &amp; Becker, A.B. (1998). </w:t>
      </w:r>
      <w:hyperlink r:id="rId9">
        <w:r>
          <w:rPr/>
          <w:t>Review of community-based research:</w:t>
        </w:r>
      </w:hyperlink>
      <w:r>
        <w:rPr/>
        <w:t> </w:t>
      </w:r>
      <w:hyperlink r:id="rId9">
        <w:r>
          <w:rPr/>
          <w:t>assessing</w:t>
        </w:r>
        <w:r>
          <w:rPr>
            <w:spacing w:val="-5"/>
          </w:rPr>
          <w:t> </w:t>
        </w:r>
        <w:r>
          <w:rPr/>
          <w:t>partnership</w:t>
        </w:r>
        <w:r>
          <w:rPr>
            <w:spacing w:val="-5"/>
          </w:rPr>
          <w:t> </w:t>
        </w:r>
        <w:r>
          <w:rPr/>
          <w:t>approaches</w:t>
        </w:r>
        <w:r>
          <w:rPr>
            <w:spacing w:val="-4"/>
          </w:rPr>
          <w:t> </w:t>
        </w:r>
        <w:r>
          <w:rPr/>
          <w:t>to</w:t>
        </w:r>
        <w:r>
          <w:rPr>
            <w:spacing w:val="-5"/>
          </w:rPr>
          <w:t> </w:t>
        </w:r>
        <w:r>
          <w:rPr/>
          <w:t>improve</w:t>
        </w:r>
        <w:r>
          <w:rPr>
            <w:spacing w:val="-2"/>
          </w:rPr>
          <w:t> </w:t>
        </w:r>
        <w:r>
          <w:rPr/>
          <w:t>public</w:t>
        </w:r>
        <w:r>
          <w:rPr>
            <w:spacing w:val="-3"/>
          </w:rPr>
          <w:t> </w:t>
        </w:r>
        <w:r>
          <w:rPr/>
          <w:t>health.</w:t>
        </w:r>
      </w:hyperlink>
      <w:r>
        <w:rPr/>
        <w:t> </w:t>
      </w:r>
      <w:r>
        <w:rPr>
          <w:i/>
        </w:rPr>
        <w:t>Annual</w:t>
      </w:r>
      <w:r>
        <w:rPr>
          <w:i/>
          <w:spacing w:val="-2"/>
        </w:rPr>
        <w:t> </w:t>
      </w:r>
      <w:r>
        <w:rPr>
          <w:i/>
        </w:rPr>
        <w:t>Review</w:t>
      </w:r>
      <w:r>
        <w:rPr>
          <w:i/>
          <w:spacing w:val="-5"/>
        </w:rPr>
        <w:t> </w:t>
      </w:r>
      <w:r>
        <w:rPr>
          <w:i/>
        </w:rPr>
        <w:t>of</w:t>
      </w:r>
      <w:r>
        <w:rPr>
          <w:i/>
          <w:spacing w:val="-2"/>
        </w:rPr>
        <w:t> </w:t>
      </w:r>
      <w:r>
        <w:rPr>
          <w:i/>
        </w:rPr>
        <w:t>Public</w:t>
      </w:r>
      <w:r>
        <w:rPr>
          <w:i/>
          <w:spacing w:val="-2"/>
        </w:rPr>
        <w:t> </w:t>
      </w:r>
      <w:r>
        <w:rPr>
          <w:i/>
        </w:rPr>
        <w:t>Health</w:t>
      </w:r>
      <w:r>
        <w:rPr/>
        <w:t>,</w:t>
      </w:r>
      <w:r>
        <w:rPr>
          <w:spacing w:val="-3"/>
        </w:rPr>
        <w:t> </w:t>
      </w:r>
      <w:r>
        <w:rPr>
          <w:i/>
        </w:rPr>
        <w:t>19</w:t>
      </w:r>
      <w:r>
        <w:rPr/>
        <w:t>, </w:t>
      </w:r>
      <w:r>
        <w:rPr>
          <w:spacing w:val="-2"/>
        </w:rPr>
        <w:t>173-202.</w:t>
      </w:r>
    </w:p>
    <w:p>
      <w:pPr>
        <w:pStyle w:val="BodyText"/>
        <w:ind w:left="840" w:hanging="720"/>
      </w:pPr>
      <w:r>
        <w:rPr/>
        <w:t>Israel, B.A., Krieger, J., Vlahov, D., Ciske, S., Foley, M., Fortin, P., Guzman, J.R., Lichtenstein, R., McGranaghan, R., Palermo, A.G. &amp; Tang, G. (2006). </w:t>
      </w:r>
      <w:hyperlink r:id="rId10">
        <w:r>
          <w:rPr/>
          <w:t>Challenges and facilitating factors in</w:t>
        </w:r>
      </w:hyperlink>
      <w:r>
        <w:rPr/>
        <w:t> </w:t>
      </w:r>
      <w:hyperlink r:id="rId10">
        <w:r>
          <w:rPr/>
          <w:t>sustaining</w:t>
        </w:r>
        <w:r>
          <w:rPr>
            <w:spacing w:val="-6"/>
          </w:rPr>
          <w:t> </w:t>
        </w:r>
        <w:r>
          <w:rPr/>
          <w:t>community-based</w:t>
        </w:r>
        <w:r>
          <w:rPr>
            <w:spacing w:val="-3"/>
          </w:rPr>
          <w:t> </w:t>
        </w:r>
        <w:r>
          <w:rPr/>
          <w:t>participatory</w:t>
        </w:r>
        <w:r>
          <w:rPr>
            <w:spacing w:val="-6"/>
          </w:rPr>
          <w:t> </w:t>
        </w:r>
        <w:r>
          <w:rPr/>
          <w:t>research</w:t>
        </w:r>
        <w:r>
          <w:rPr>
            <w:spacing w:val="-3"/>
          </w:rPr>
          <w:t> </w:t>
        </w:r>
        <w:r>
          <w:rPr/>
          <w:t>partnerships:</w:t>
        </w:r>
        <w:r>
          <w:rPr>
            <w:spacing w:val="-3"/>
          </w:rPr>
          <w:t> </w:t>
        </w:r>
        <w:r>
          <w:rPr/>
          <w:t>lessons</w:t>
        </w:r>
        <w:r>
          <w:rPr>
            <w:spacing w:val="-3"/>
          </w:rPr>
          <w:t> </w:t>
        </w:r>
        <w:r>
          <w:rPr/>
          <w:t>learned</w:t>
        </w:r>
        <w:r>
          <w:rPr>
            <w:spacing w:val="-5"/>
          </w:rPr>
          <w:t> </w:t>
        </w:r>
        <w:r>
          <w:rPr/>
          <w:t>from</w:t>
        </w:r>
        <w:r>
          <w:rPr>
            <w:spacing w:val="-7"/>
          </w:rPr>
          <w:t> </w:t>
        </w:r>
        <w:r>
          <w:rPr/>
          <w:t>the</w:t>
        </w:r>
        <w:r>
          <w:rPr>
            <w:spacing w:val="-3"/>
          </w:rPr>
          <w:t> </w:t>
        </w:r>
        <w:r>
          <w:rPr/>
          <w:t>Detroit,</w:t>
        </w:r>
      </w:hyperlink>
      <w:r>
        <w:rPr/>
        <w:t> </w:t>
      </w:r>
      <w:hyperlink r:id="rId10">
        <w:r>
          <w:rPr/>
          <w:t>New</w:t>
        </w:r>
        <w:r>
          <w:rPr>
            <w:spacing w:val="-5"/>
          </w:rPr>
          <w:t> </w:t>
        </w:r>
        <w:r>
          <w:rPr/>
          <w:t>York</w:t>
        </w:r>
        <w:r>
          <w:rPr>
            <w:spacing w:val="-6"/>
          </w:rPr>
          <w:t> </w:t>
        </w:r>
        <w:r>
          <w:rPr/>
          <w:t>City</w:t>
        </w:r>
        <w:r>
          <w:rPr>
            <w:spacing w:val="-5"/>
          </w:rPr>
          <w:t> </w:t>
        </w:r>
        <w:r>
          <w:rPr/>
          <w:t>and</w:t>
        </w:r>
        <w:r>
          <w:rPr>
            <w:spacing w:val="-3"/>
          </w:rPr>
          <w:t> </w:t>
        </w:r>
        <w:r>
          <w:rPr/>
          <w:t>Seattle</w:t>
        </w:r>
        <w:r>
          <w:rPr>
            <w:spacing w:val="-5"/>
          </w:rPr>
          <w:t> </w:t>
        </w:r>
        <w:r>
          <w:rPr/>
          <w:t>Urban</w:t>
        </w:r>
        <w:r>
          <w:rPr>
            <w:spacing w:val="-2"/>
          </w:rPr>
          <w:t> </w:t>
        </w:r>
        <w:r>
          <w:rPr/>
          <w:t>Research</w:t>
        </w:r>
        <w:r>
          <w:rPr>
            <w:spacing w:val="-3"/>
          </w:rPr>
          <w:t> </w:t>
        </w:r>
        <w:r>
          <w:rPr/>
          <w:t>Centers.</w:t>
        </w:r>
      </w:hyperlink>
      <w:r>
        <w:rPr>
          <w:spacing w:val="-2"/>
        </w:rPr>
        <w:t> </w:t>
      </w:r>
      <w:r>
        <w:rPr>
          <w:i/>
        </w:rPr>
        <w:t>Journal</w:t>
      </w:r>
      <w:r>
        <w:rPr>
          <w:i/>
          <w:spacing w:val="-4"/>
        </w:rPr>
        <w:t> </w:t>
      </w:r>
      <w:r>
        <w:rPr>
          <w:i/>
        </w:rPr>
        <w:t>of</w:t>
      </w:r>
      <w:r>
        <w:rPr>
          <w:i/>
          <w:spacing w:val="-1"/>
        </w:rPr>
        <w:t> </w:t>
      </w:r>
      <w:r>
        <w:rPr>
          <w:i/>
        </w:rPr>
        <w:t>Urban</w:t>
      </w:r>
      <w:r>
        <w:rPr>
          <w:i/>
          <w:spacing w:val="-3"/>
        </w:rPr>
        <w:t> </w:t>
      </w:r>
      <w:r>
        <w:rPr>
          <w:i/>
        </w:rPr>
        <w:t>Health</w:t>
      </w:r>
      <w:r>
        <w:rPr/>
        <w:t>,</w:t>
      </w:r>
      <w:r>
        <w:rPr>
          <w:spacing w:val="-6"/>
        </w:rPr>
        <w:t> </w:t>
      </w:r>
      <w:r>
        <w:rPr>
          <w:i/>
        </w:rPr>
        <w:t>83</w:t>
      </w:r>
      <w:r>
        <w:rPr/>
        <w:t>(6),</w:t>
      </w:r>
      <w:r>
        <w:rPr>
          <w:spacing w:val="-2"/>
        </w:rPr>
        <w:t> </w:t>
      </w:r>
      <w:r>
        <w:rPr/>
        <w:t>1022-</w:t>
      </w:r>
      <w:r>
        <w:rPr>
          <w:spacing w:val="-2"/>
        </w:rPr>
        <w:t>1040.</w:t>
      </w:r>
    </w:p>
    <w:p>
      <w:pPr>
        <w:spacing w:after="0"/>
        <w:sectPr>
          <w:type w:val="continuous"/>
          <w:pgSz w:w="12240" w:h="15840"/>
          <w:pgMar w:header="721" w:footer="792" w:top="1340" w:bottom="980" w:left="1320" w:right="1320"/>
        </w:sectPr>
      </w:pPr>
    </w:p>
    <w:p>
      <w:pPr>
        <w:pStyle w:val="BodyText"/>
        <w:spacing w:before="81"/>
        <w:ind w:left="840" w:hanging="720"/>
      </w:pPr>
      <w:r>
        <w:rPr/>
        <w:t>Lisovicz,</w:t>
      </w:r>
      <w:r>
        <w:rPr>
          <w:spacing w:val="-3"/>
        </w:rPr>
        <w:t> </w:t>
      </w:r>
      <w:r>
        <w:rPr/>
        <w:t>N.,</w:t>
      </w:r>
      <w:r>
        <w:rPr>
          <w:spacing w:val="-6"/>
        </w:rPr>
        <w:t> </w:t>
      </w:r>
      <w:r>
        <w:rPr/>
        <w:t>Johnson,</w:t>
      </w:r>
      <w:r>
        <w:rPr>
          <w:spacing w:val="-3"/>
        </w:rPr>
        <w:t> </w:t>
      </w:r>
      <w:r>
        <w:rPr/>
        <w:t>R.E.,</w:t>
      </w:r>
      <w:r>
        <w:rPr>
          <w:spacing w:val="-3"/>
        </w:rPr>
        <w:t> </w:t>
      </w:r>
      <w:r>
        <w:rPr/>
        <w:t>Higginbotham,</w:t>
      </w:r>
      <w:r>
        <w:rPr>
          <w:spacing w:val="-3"/>
        </w:rPr>
        <w:t> </w:t>
      </w:r>
      <w:r>
        <w:rPr/>
        <w:t>J.,</w:t>
      </w:r>
      <w:r>
        <w:rPr>
          <w:spacing w:val="-3"/>
        </w:rPr>
        <w:t> </w:t>
      </w:r>
      <w:r>
        <w:rPr/>
        <w:t>Downey,</w:t>
      </w:r>
      <w:r>
        <w:rPr>
          <w:spacing w:val="-3"/>
        </w:rPr>
        <w:t> </w:t>
      </w:r>
      <w:r>
        <w:rPr/>
        <w:t>J.A.,</w:t>
      </w:r>
      <w:r>
        <w:rPr>
          <w:spacing w:val="-3"/>
        </w:rPr>
        <w:t> </w:t>
      </w:r>
      <w:r>
        <w:rPr/>
        <w:t>Hardy,</w:t>
      </w:r>
      <w:r>
        <w:rPr>
          <w:spacing w:val="-2"/>
        </w:rPr>
        <w:t> </w:t>
      </w:r>
      <w:r>
        <w:rPr/>
        <w:t>C.M.,</w:t>
      </w:r>
      <w:r>
        <w:rPr>
          <w:spacing w:val="-3"/>
        </w:rPr>
        <w:t> </w:t>
      </w:r>
      <w:r>
        <w:rPr/>
        <w:t>Fouad,</w:t>
      </w:r>
      <w:r>
        <w:rPr>
          <w:spacing w:val="-3"/>
        </w:rPr>
        <w:t> </w:t>
      </w:r>
      <w:r>
        <w:rPr/>
        <w:t>M.N.,</w:t>
      </w:r>
      <w:r>
        <w:rPr>
          <w:spacing w:val="-3"/>
        </w:rPr>
        <w:t> </w:t>
      </w:r>
      <w:r>
        <w:rPr/>
        <w:t>Hinton,</w:t>
      </w:r>
      <w:r>
        <w:rPr>
          <w:spacing w:val="-3"/>
        </w:rPr>
        <w:t> </w:t>
      </w:r>
      <w:r>
        <w:rPr/>
        <w:t>A.W.</w:t>
      </w:r>
      <w:r>
        <w:rPr>
          <w:spacing w:val="-1"/>
        </w:rPr>
        <w:t> </w:t>
      </w:r>
      <w:r>
        <w:rPr/>
        <w:t>&amp; Partridge, E.E. (2006). The Deep South Network for cancer control. Building a community infrastructure to reduce cancer health disparities. </w:t>
      </w:r>
      <w:r>
        <w:rPr>
          <w:i/>
        </w:rPr>
        <w:t>Cancer, </w:t>
      </w:r>
      <w:r>
        <w:rPr/>
        <w:t>107(8 Suppl), 1971-1979.</w:t>
      </w:r>
    </w:p>
    <w:p>
      <w:pPr>
        <w:spacing w:before="0"/>
        <w:ind w:left="840" w:right="188" w:hanging="720"/>
        <w:jc w:val="left"/>
        <w:rPr>
          <w:sz w:val="22"/>
        </w:rPr>
      </w:pPr>
      <w:r>
        <w:rPr>
          <w:sz w:val="22"/>
        </w:rPr>
        <w:t>Mokuau,</w:t>
      </w:r>
      <w:r>
        <w:rPr>
          <w:spacing w:val="-3"/>
          <w:sz w:val="22"/>
        </w:rPr>
        <w:t> </w:t>
      </w:r>
      <w:r>
        <w:rPr>
          <w:sz w:val="22"/>
        </w:rPr>
        <w:t>N,</w:t>
      </w:r>
      <w:r>
        <w:rPr>
          <w:spacing w:val="-3"/>
          <w:sz w:val="22"/>
        </w:rPr>
        <w:t> </w:t>
      </w:r>
      <w:r>
        <w:rPr>
          <w:sz w:val="22"/>
        </w:rPr>
        <w:t>(1996).</w:t>
      </w:r>
      <w:r>
        <w:rPr>
          <w:spacing w:val="-3"/>
          <w:sz w:val="22"/>
        </w:rPr>
        <w:t> </w:t>
      </w:r>
      <w:r>
        <w:rPr>
          <w:sz w:val="22"/>
        </w:rPr>
        <w:t>Health</w:t>
      </w:r>
      <w:r>
        <w:rPr>
          <w:spacing w:val="-6"/>
          <w:sz w:val="22"/>
        </w:rPr>
        <w:t> </w:t>
      </w:r>
      <w:r>
        <w:rPr>
          <w:sz w:val="22"/>
        </w:rPr>
        <w:t>and</w:t>
      </w:r>
      <w:r>
        <w:rPr>
          <w:spacing w:val="-3"/>
          <w:sz w:val="22"/>
        </w:rPr>
        <w:t> </w:t>
      </w:r>
      <w:r>
        <w:rPr>
          <w:sz w:val="22"/>
        </w:rPr>
        <w:t>well-being</w:t>
      </w:r>
      <w:r>
        <w:rPr>
          <w:spacing w:val="-6"/>
          <w:sz w:val="22"/>
        </w:rPr>
        <w:t> </w:t>
      </w:r>
      <w:r>
        <w:rPr>
          <w:sz w:val="22"/>
        </w:rPr>
        <w:t>for</w:t>
      </w:r>
      <w:r>
        <w:rPr>
          <w:spacing w:val="-3"/>
          <w:sz w:val="22"/>
        </w:rPr>
        <w:t> </w:t>
      </w:r>
      <w:r>
        <w:rPr>
          <w:sz w:val="22"/>
        </w:rPr>
        <w:t>PIs:</w:t>
      </w:r>
      <w:r>
        <w:rPr>
          <w:spacing w:val="-2"/>
          <w:sz w:val="22"/>
        </w:rPr>
        <w:t> </w:t>
      </w:r>
      <w:r>
        <w:rPr>
          <w:sz w:val="22"/>
        </w:rPr>
        <w:t>status,</w:t>
      </w:r>
      <w:r>
        <w:rPr>
          <w:spacing w:val="-3"/>
          <w:sz w:val="22"/>
        </w:rPr>
        <w:t> </w:t>
      </w:r>
      <w:r>
        <w:rPr>
          <w:sz w:val="22"/>
        </w:rPr>
        <w:t>barriers,</w:t>
      </w:r>
      <w:r>
        <w:rPr>
          <w:spacing w:val="-3"/>
          <w:sz w:val="22"/>
        </w:rPr>
        <w:t> </w:t>
      </w:r>
      <w:r>
        <w:rPr>
          <w:sz w:val="22"/>
        </w:rPr>
        <w:t>and</w:t>
      </w:r>
      <w:r>
        <w:rPr>
          <w:spacing w:val="-3"/>
          <w:sz w:val="22"/>
        </w:rPr>
        <w:t> </w:t>
      </w:r>
      <w:r>
        <w:rPr>
          <w:sz w:val="22"/>
        </w:rPr>
        <w:t>resolutions. </w:t>
      </w:r>
      <w:r>
        <w:rPr>
          <w:i/>
          <w:sz w:val="22"/>
        </w:rPr>
        <w:t>Asian</w:t>
      </w:r>
      <w:r>
        <w:rPr>
          <w:i/>
          <w:spacing w:val="-3"/>
          <w:sz w:val="22"/>
        </w:rPr>
        <w:t> </w:t>
      </w:r>
      <w:r>
        <w:rPr>
          <w:i/>
          <w:sz w:val="22"/>
        </w:rPr>
        <w:t>American</w:t>
      </w:r>
      <w:r>
        <w:rPr>
          <w:i/>
          <w:spacing w:val="-3"/>
          <w:sz w:val="22"/>
        </w:rPr>
        <w:t> </w:t>
      </w:r>
      <w:r>
        <w:rPr>
          <w:i/>
          <w:sz w:val="22"/>
        </w:rPr>
        <w:t>and</w:t>
      </w:r>
      <w:r>
        <w:rPr>
          <w:i/>
          <w:sz w:val="22"/>
        </w:rPr>
        <w:t> PI</w:t>
      </w:r>
      <w:r>
        <w:rPr>
          <w:i/>
          <w:spacing w:val="40"/>
          <w:sz w:val="22"/>
        </w:rPr>
        <w:t> </w:t>
      </w:r>
      <w:r>
        <w:rPr>
          <w:i/>
          <w:sz w:val="22"/>
        </w:rPr>
        <w:t>Journal of Health, 4</w:t>
      </w:r>
      <w:r>
        <w:rPr>
          <w:sz w:val="22"/>
        </w:rPr>
        <w:t>(1-3), 55-67.</w:t>
      </w:r>
    </w:p>
    <w:p>
      <w:pPr>
        <w:pStyle w:val="BodyText"/>
        <w:ind w:left="840" w:right="188" w:hanging="720"/>
      </w:pPr>
      <w:r>
        <w:rPr/>
        <w:t>Nguyen, T.U., Tanjasiri, S.P., Kagawa-Singer, M., Tran, J. &amp; Foo, M. (2006). Community health navigators for breast and cervical cancer screening among Cambodian and Laotian women: intervention</w:t>
      </w:r>
      <w:r>
        <w:rPr>
          <w:spacing w:val="-4"/>
        </w:rPr>
        <w:t> </w:t>
      </w:r>
      <w:r>
        <w:rPr/>
        <w:t>strategies</w:t>
      </w:r>
      <w:r>
        <w:rPr>
          <w:spacing w:val="-4"/>
        </w:rPr>
        <w:t> </w:t>
      </w:r>
      <w:r>
        <w:rPr/>
        <w:t>and</w:t>
      </w:r>
      <w:r>
        <w:rPr>
          <w:spacing w:val="-4"/>
        </w:rPr>
        <w:t> </w:t>
      </w:r>
      <w:r>
        <w:rPr/>
        <w:t>relationship-building</w:t>
      </w:r>
      <w:r>
        <w:rPr>
          <w:spacing w:val="-7"/>
        </w:rPr>
        <w:t> </w:t>
      </w:r>
      <w:r>
        <w:rPr/>
        <w:t>processes.</w:t>
      </w:r>
      <w:r>
        <w:rPr>
          <w:spacing w:val="-2"/>
        </w:rPr>
        <w:t> </w:t>
      </w:r>
      <w:r>
        <w:rPr>
          <w:i/>
        </w:rPr>
        <w:t>Health</w:t>
      </w:r>
      <w:r>
        <w:rPr>
          <w:i/>
          <w:spacing w:val="-4"/>
        </w:rPr>
        <w:t> </w:t>
      </w:r>
      <w:r>
        <w:rPr>
          <w:i/>
        </w:rPr>
        <w:t>Promotion</w:t>
      </w:r>
      <w:r>
        <w:rPr>
          <w:i/>
          <w:spacing w:val="-4"/>
        </w:rPr>
        <w:t> </w:t>
      </w:r>
      <w:r>
        <w:rPr>
          <w:i/>
        </w:rPr>
        <w:t>Practice,</w:t>
      </w:r>
      <w:r>
        <w:rPr>
          <w:i/>
          <w:spacing w:val="-4"/>
        </w:rPr>
        <w:t> </w:t>
      </w:r>
      <w:r>
        <w:rPr>
          <w:i/>
        </w:rPr>
        <w:t>13</w:t>
      </w:r>
      <w:r>
        <w:rPr/>
        <w:t>,</w:t>
      </w:r>
      <w:r>
        <w:rPr>
          <w:spacing w:val="-4"/>
        </w:rPr>
        <w:t> </w:t>
      </w:r>
      <w:r>
        <w:rPr/>
        <w:t>1-12.</w:t>
      </w:r>
    </w:p>
    <w:p>
      <w:pPr>
        <w:spacing w:before="0"/>
        <w:ind w:left="840" w:right="320" w:hanging="720"/>
        <w:jc w:val="left"/>
        <w:rPr>
          <w:sz w:val="22"/>
        </w:rPr>
      </w:pPr>
      <w:r>
        <w:rPr>
          <w:sz w:val="22"/>
        </w:rPr>
        <w:t>Nguyen,</w:t>
      </w:r>
      <w:r>
        <w:rPr>
          <w:spacing w:val="-2"/>
          <w:sz w:val="22"/>
        </w:rPr>
        <w:t> </w:t>
      </w:r>
      <w:r>
        <w:rPr>
          <w:sz w:val="22"/>
        </w:rPr>
        <w:t>T.U.</w:t>
      </w:r>
      <w:r>
        <w:rPr>
          <w:spacing w:val="-2"/>
          <w:sz w:val="22"/>
        </w:rPr>
        <w:t> </w:t>
      </w:r>
      <w:r>
        <w:rPr>
          <w:sz w:val="22"/>
        </w:rPr>
        <w:t>&amp;</w:t>
      </w:r>
      <w:r>
        <w:rPr>
          <w:spacing w:val="-6"/>
          <w:sz w:val="22"/>
        </w:rPr>
        <w:t> </w:t>
      </w:r>
      <w:r>
        <w:rPr>
          <w:sz w:val="22"/>
        </w:rPr>
        <w:t>Kagawa-Singer,</w:t>
      </w:r>
      <w:r>
        <w:rPr>
          <w:spacing w:val="-2"/>
          <w:sz w:val="22"/>
        </w:rPr>
        <w:t> </w:t>
      </w:r>
      <w:r>
        <w:rPr>
          <w:sz w:val="22"/>
        </w:rPr>
        <w:t>M.</w:t>
      </w:r>
      <w:r>
        <w:rPr>
          <w:spacing w:val="-4"/>
          <w:sz w:val="22"/>
        </w:rPr>
        <w:t> </w:t>
      </w:r>
      <w:r>
        <w:rPr>
          <w:sz w:val="22"/>
        </w:rPr>
        <w:t>(2008).</w:t>
      </w:r>
      <w:r>
        <w:rPr>
          <w:spacing w:val="-2"/>
          <w:sz w:val="22"/>
        </w:rPr>
        <w:t> </w:t>
      </w:r>
      <w:r>
        <w:rPr>
          <w:sz w:val="22"/>
        </w:rPr>
        <w:t>Overcoming</w:t>
      </w:r>
      <w:r>
        <w:rPr>
          <w:spacing w:val="-5"/>
          <w:sz w:val="22"/>
        </w:rPr>
        <w:t> </w:t>
      </w:r>
      <w:r>
        <w:rPr>
          <w:sz w:val="22"/>
        </w:rPr>
        <w:t>barriers</w:t>
      </w:r>
      <w:r>
        <w:rPr>
          <w:spacing w:val="-4"/>
          <w:sz w:val="22"/>
        </w:rPr>
        <w:t> </w:t>
      </w:r>
      <w:r>
        <w:rPr>
          <w:sz w:val="22"/>
        </w:rPr>
        <w:t>to</w:t>
      </w:r>
      <w:r>
        <w:rPr>
          <w:spacing w:val="-5"/>
          <w:sz w:val="22"/>
        </w:rPr>
        <w:t> </w:t>
      </w:r>
      <w:r>
        <w:rPr>
          <w:sz w:val="22"/>
        </w:rPr>
        <w:t>cancer</w:t>
      </w:r>
      <w:r>
        <w:rPr>
          <w:spacing w:val="-4"/>
          <w:sz w:val="22"/>
        </w:rPr>
        <w:t> </w:t>
      </w:r>
      <w:r>
        <w:rPr>
          <w:sz w:val="22"/>
        </w:rPr>
        <w:t>care</w:t>
      </w:r>
      <w:r>
        <w:rPr>
          <w:spacing w:val="-2"/>
          <w:sz w:val="22"/>
        </w:rPr>
        <w:t> </w:t>
      </w:r>
      <w:r>
        <w:rPr>
          <w:sz w:val="22"/>
        </w:rPr>
        <w:t>through</w:t>
      </w:r>
      <w:r>
        <w:rPr>
          <w:spacing w:val="-2"/>
          <w:sz w:val="22"/>
        </w:rPr>
        <w:t> </w:t>
      </w:r>
      <w:r>
        <w:rPr>
          <w:sz w:val="22"/>
        </w:rPr>
        <w:t>health navigation programs. </w:t>
      </w:r>
      <w:r>
        <w:rPr>
          <w:i/>
          <w:sz w:val="22"/>
        </w:rPr>
        <w:t>Seminars in Oncology Nursing, 24</w:t>
      </w:r>
      <w:r>
        <w:rPr>
          <w:sz w:val="22"/>
        </w:rPr>
        <w:t>(4), 270-278.</w:t>
      </w:r>
    </w:p>
    <w:p>
      <w:pPr>
        <w:pStyle w:val="BodyText"/>
        <w:ind w:left="840" w:right="188" w:hanging="720"/>
      </w:pPr>
      <w:r>
        <w:rPr/>
        <w:t>Nguyen, T.T., McPhee, S.J., Bui-Tong, N., Luong, T.N., Ha-Iaconis, T., Nguyen, T., Wong, C., Lai, K.Q., &amp; Lam, H. (2006). Community-based participatory research increases cervical cancer screening</w:t>
      </w:r>
      <w:r>
        <w:rPr>
          <w:spacing w:val="-6"/>
        </w:rPr>
        <w:t> </w:t>
      </w:r>
      <w:r>
        <w:rPr/>
        <w:t>among</w:t>
      </w:r>
      <w:r>
        <w:rPr>
          <w:spacing w:val="-6"/>
        </w:rPr>
        <w:t> </w:t>
      </w:r>
      <w:r>
        <w:rPr/>
        <w:t>Vietnamese-Americans.</w:t>
      </w:r>
      <w:r>
        <w:rPr>
          <w:spacing w:val="-1"/>
        </w:rPr>
        <w:t> </w:t>
      </w:r>
      <w:r>
        <w:rPr>
          <w:i/>
        </w:rPr>
        <w:t>Journal</w:t>
      </w:r>
      <w:r>
        <w:rPr>
          <w:i/>
          <w:spacing w:val="-2"/>
        </w:rPr>
        <w:t> </w:t>
      </w:r>
      <w:r>
        <w:rPr>
          <w:i/>
        </w:rPr>
        <w:t>of</w:t>
      </w:r>
      <w:r>
        <w:rPr>
          <w:i/>
          <w:spacing w:val="-2"/>
        </w:rPr>
        <w:t> </w:t>
      </w:r>
      <w:r>
        <w:rPr>
          <w:i/>
        </w:rPr>
        <w:t>Health</w:t>
      </w:r>
      <w:r>
        <w:rPr>
          <w:i/>
          <w:spacing w:val="-3"/>
        </w:rPr>
        <w:t> </w:t>
      </w:r>
      <w:r>
        <w:rPr>
          <w:i/>
        </w:rPr>
        <w:t>Care</w:t>
      </w:r>
      <w:r>
        <w:rPr>
          <w:i/>
          <w:spacing w:val="-5"/>
        </w:rPr>
        <w:t> </w:t>
      </w:r>
      <w:r>
        <w:rPr>
          <w:i/>
        </w:rPr>
        <w:t>for</w:t>
      </w:r>
      <w:r>
        <w:rPr>
          <w:i/>
          <w:spacing w:val="-3"/>
        </w:rPr>
        <w:t> </w:t>
      </w:r>
      <w:r>
        <w:rPr>
          <w:i/>
        </w:rPr>
        <w:t>the</w:t>
      </w:r>
      <w:r>
        <w:rPr>
          <w:i/>
          <w:spacing w:val="-3"/>
        </w:rPr>
        <w:t> </w:t>
      </w:r>
      <w:r>
        <w:rPr>
          <w:i/>
        </w:rPr>
        <w:t>Poor</w:t>
      </w:r>
      <w:r>
        <w:rPr>
          <w:i/>
          <w:spacing w:val="-5"/>
        </w:rPr>
        <w:t> </w:t>
      </w:r>
      <w:r>
        <w:rPr>
          <w:i/>
        </w:rPr>
        <w:t>and</w:t>
      </w:r>
      <w:r>
        <w:rPr>
          <w:i/>
          <w:spacing w:val="-6"/>
        </w:rPr>
        <w:t> </w:t>
      </w:r>
      <w:r>
        <w:rPr>
          <w:i/>
        </w:rPr>
        <w:t>Underserved,</w:t>
      </w:r>
      <w:r>
        <w:rPr>
          <w:i/>
        </w:rPr>
        <w:t> </w:t>
      </w:r>
      <w:r>
        <w:rPr/>
        <w:t>17(2 Suppl), 31-54.</w:t>
      </w:r>
    </w:p>
    <w:p>
      <w:pPr>
        <w:spacing w:before="2"/>
        <w:ind w:left="840" w:right="320" w:hanging="720"/>
        <w:jc w:val="left"/>
        <w:rPr>
          <w:sz w:val="22"/>
        </w:rPr>
      </w:pPr>
      <w:r>
        <w:rPr>
          <w:sz w:val="22"/>
        </w:rPr>
        <w:t>Palermo, A.G., McGranaghan, R. &amp; R. Travers. (2006). Unit 3, Developing a CBPR Partnership: Creating</w:t>
      </w:r>
      <w:r>
        <w:rPr>
          <w:spacing w:val="-6"/>
          <w:sz w:val="22"/>
        </w:rPr>
        <w:t> </w:t>
      </w:r>
      <w:r>
        <w:rPr>
          <w:sz w:val="22"/>
        </w:rPr>
        <w:t>the</w:t>
      </w:r>
      <w:r>
        <w:rPr>
          <w:spacing w:val="-5"/>
          <w:sz w:val="22"/>
        </w:rPr>
        <w:t> </w:t>
      </w:r>
      <w:r>
        <w:rPr>
          <w:sz w:val="22"/>
        </w:rPr>
        <w:t>Glue,</w:t>
      </w:r>
      <w:r>
        <w:rPr>
          <w:spacing w:val="-3"/>
          <w:sz w:val="22"/>
        </w:rPr>
        <w:t> </w:t>
      </w:r>
      <w:r>
        <w:rPr>
          <w:sz w:val="22"/>
        </w:rPr>
        <w:t>In,</w:t>
      </w:r>
      <w:r>
        <w:rPr>
          <w:spacing w:val="-3"/>
          <w:sz w:val="22"/>
        </w:rPr>
        <w:t> </w:t>
      </w:r>
      <w:r>
        <w:rPr>
          <w:sz w:val="22"/>
        </w:rPr>
        <w:t>The</w:t>
      </w:r>
      <w:r>
        <w:rPr>
          <w:spacing w:val="-5"/>
          <w:sz w:val="22"/>
        </w:rPr>
        <w:t> </w:t>
      </w:r>
      <w:r>
        <w:rPr>
          <w:sz w:val="22"/>
        </w:rPr>
        <w:t>Examining</w:t>
      </w:r>
      <w:r>
        <w:rPr>
          <w:spacing w:val="-6"/>
          <w:sz w:val="22"/>
        </w:rPr>
        <w:t> </w:t>
      </w:r>
      <w:r>
        <w:rPr>
          <w:sz w:val="22"/>
        </w:rPr>
        <w:t>Community-Institutional</w:t>
      </w:r>
      <w:r>
        <w:rPr>
          <w:spacing w:val="-2"/>
          <w:sz w:val="22"/>
        </w:rPr>
        <w:t> </w:t>
      </w:r>
      <w:r>
        <w:rPr>
          <w:sz w:val="22"/>
        </w:rPr>
        <w:t>Partnerships</w:t>
      </w:r>
      <w:r>
        <w:rPr>
          <w:spacing w:val="-3"/>
          <w:sz w:val="22"/>
        </w:rPr>
        <w:t> </w:t>
      </w:r>
      <w:r>
        <w:rPr>
          <w:sz w:val="22"/>
        </w:rPr>
        <w:t>for</w:t>
      </w:r>
      <w:r>
        <w:rPr>
          <w:spacing w:val="-3"/>
          <w:sz w:val="22"/>
        </w:rPr>
        <w:t> </w:t>
      </w:r>
      <w:r>
        <w:rPr>
          <w:sz w:val="22"/>
        </w:rPr>
        <w:t>Prevention Research Group.</w:t>
      </w:r>
      <w:r>
        <w:rPr>
          <w:spacing w:val="40"/>
          <w:sz w:val="22"/>
        </w:rPr>
        <w:t> </w:t>
      </w:r>
      <w:r>
        <w:rPr>
          <w:i/>
          <w:sz w:val="22"/>
        </w:rPr>
        <w:t>Developing and Sustaining Community-Based Participatory Research</w:t>
      </w:r>
      <w:r>
        <w:rPr>
          <w:i/>
          <w:sz w:val="22"/>
        </w:rPr>
        <w:t> Partnerships: A Skill-Building Curriculum. </w:t>
      </w:r>
      <w:r>
        <w:rPr>
          <w:sz w:val="22"/>
        </w:rPr>
        <w:t>Retrieved from: </w:t>
      </w:r>
      <w:hyperlink r:id="rId8">
        <w:r>
          <w:rPr>
            <w:sz w:val="22"/>
          </w:rPr>
          <w:t>www.cbprcurriculum.info</w:t>
        </w:r>
      </w:hyperlink>
      <w:r>
        <w:rPr>
          <w:sz w:val="22"/>
        </w:rPr>
        <w:t>.</w:t>
      </w:r>
    </w:p>
    <w:p>
      <w:pPr>
        <w:pStyle w:val="BodyText"/>
        <w:ind w:left="840" w:hanging="720"/>
      </w:pPr>
      <w:r>
        <w:rPr/>
        <w:t>Special Services for Groups. (2001). Report on the breast and cervical cancer screening needs and recommendations</w:t>
      </w:r>
      <w:r>
        <w:rPr>
          <w:spacing w:val="-6"/>
        </w:rPr>
        <w:t> </w:t>
      </w:r>
      <w:r>
        <w:rPr/>
        <w:t>for</w:t>
      </w:r>
      <w:r>
        <w:rPr>
          <w:spacing w:val="-6"/>
        </w:rPr>
        <w:t> </w:t>
      </w:r>
      <w:r>
        <w:rPr/>
        <w:t>Cambodians,</w:t>
      </w:r>
      <w:r>
        <w:rPr>
          <w:spacing w:val="-4"/>
        </w:rPr>
        <w:t> </w:t>
      </w:r>
      <w:r>
        <w:rPr/>
        <w:t>Chamorros,</w:t>
      </w:r>
      <w:r>
        <w:rPr>
          <w:spacing w:val="-4"/>
        </w:rPr>
        <w:t> </w:t>
      </w:r>
      <w:r>
        <w:rPr/>
        <w:t>Laotians,</w:t>
      </w:r>
      <w:r>
        <w:rPr>
          <w:spacing w:val="-4"/>
        </w:rPr>
        <w:t> </w:t>
      </w:r>
      <w:r>
        <w:rPr/>
        <w:t>Thais,</w:t>
      </w:r>
      <w:r>
        <w:rPr>
          <w:spacing w:val="-6"/>
        </w:rPr>
        <w:t> </w:t>
      </w:r>
      <w:r>
        <w:rPr/>
        <w:t>Tongans,</w:t>
      </w:r>
      <w:r>
        <w:rPr>
          <w:spacing w:val="-7"/>
        </w:rPr>
        <w:t> </w:t>
      </w:r>
      <w:r>
        <w:rPr/>
        <w:t>and</w:t>
      </w:r>
      <w:r>
        <w:rPr>
          <w:spacing w:val="-6"/>
        </w:rPr>
        <w:t> </w:t>
      </w:r>
      <w:r>
        <w:rPr/>
        <w:t>Vietnamese.</w:t>
      </w:r>
      <w:r>
        <w:rPr>
          <w:spacing w:val="-4"/>
        </w:rPr>
        <w:t> </w:t>
      </w:r>
      <w:r>
        <w:rPr/>
        <w:t>Los Angeles, CA: Special Services for Groups, Inc.</w:t>
      </w:r>
    </w:p>
    <w:p>
      <w:pPr>
        <w:pStyle w:val="BodyText"/>
        <w:ind w:left="840" w:right="196" w:hanging="720"/>
        <w:jc w:val="both"/>
      </w:pPr>
      <w:r>
        <w:rPr/>
        <w:t>Tanjasiri, S.P., Kagawa-Singer, M., Nguyen, T. &amp; Foo,</w:t>
      </w:r>
      <w:r>
        <w:rPr>
          <w:spacing w:val="-2"/>
        </w:rPr>
        <w:t> </w:t>
      </w:r>
      <w:r>
        <w:rPr/>
        <w:t>M. (2002). Collaborative research</w:t>
      </w:r>
      <w:r>
        <w:rPr>
          <w:spacing w:val="-1"/>
        </w:rPr>
        <w:t> </w:t>
      </w:r>
      <w:r>
        <w:rPr/>
        <w:t>as an</w:t>
      </w:r>
      <w:r>
        <w:rPr>
          <w:spacing w:val="-1"/>
        </w:rPr>
        <w:t> </w:t>
      </w:r>
      <w:r>
        <w:rPr/>
        <w:t>essential component</w:t>
      </w:r>
      <w:r>
        <w:rPr>
          <w:spacing w:val="-3"/>
        </w:rPr>
        <w:t> </w:t>
      </w:r>
      <w:r>
        <w:rPr/>
        <w:t>for</w:t>
      </w:r>
      <w:r>
        <w:rPr>
          <w:spacing w:val="-4"/>
        </w:rPr>
        <w:t> </w:t>
      </w:r>
      <w:r>
        <w:rPr/>
        <w:t>addressing</w:t>
      </w:r>
      <w:r>
        <w:rPr>
          <w:spacing w:val="-7"/>
        </w:rPr>
        <w:t> </w:t>
      </w:r>
      <w:r>
        <w:rPr/>
        <w:t>cancer</w:t>
      </w:r>
      <w:r>
        <w:rPr>
          <w:spacing w:val="-4"/>
        </w:rPr>
        <w:t> </w:t>
      </w:r>
      <w:r>
        <w:rPr/>
        <w:t>disparities</w:t>
      </w:r>
      <w:r>
        <w:rPr>
          <w:spacing w:val="-4"/>
        </w:rPr>
        <w:t> </w:t>
      </w:r>
      <w:r>
        <w:rPr/>
        <w:t>among</w:t>
      </w:r>
      <w:r>
        <w:rPr>
          <w:spacing w:val="-7"/>
        </w:rPr>
        <w:t> </w:t>
      </w:r>
      <w:r>
        <w:rPr/>
        <w:t>Southeast</w:t>
      </w:r>
      <w:r>
        <w:rPr>
          <w:spacing w:val="-3"/>
        </w:rPr>
        <w:t> </w:t>
      </w:r>
      <w:r>
        <w:rPr/>
        <w:t>Asian</w:t>
      </w:r>
      <w:r>
        <w:rPr>
          <w:spacing w:val="-4"/>
        </w:rPr>
        <w:t> </w:t>
      </w:r>
      <w:r>
        <w:rPr/>
        <w:t>and</w:t>
      </w:r>
      <w:r>
        <w:rPr>
          <w:spacing w:val="-4"/>
        </w:rPr>
        <w:t> </w:t>
      </w:r>
      <w:r>
        <w:rPr/>
        <w:t>Pacific</w:t>
      </w:r>
      <w:r>
        <w:rPr>
          <w:spacing w:val="-4"/>
        </w:rPr>
        <w:t> </w:t>
      </w:r>
      <w:r>
        <w:rPr/>
        <w:t>Islander</w:t>
      </w:r>
      <w:r>
        <w:rPr>
          <w:spacing w:val="-4"/>
        </w:rPr>
        <w:t> </w:t>
      </w:r>
      <w:r>
        <w:rPr/>
        <w:t>women. </w:t>
      </w:r>
      <w:r>
        <w:rPr>
          <w:i/>
        </w:rPr>
        <w:t>Health Promotion Practice, 3</w:t>
      </w:r>
      <w:r>
        <w:rPr/>
        <w:t>, 144-154.</w:t>
      </w:r>
    </w:p>
    <w:p>
      <w:pPr>
        <w:spacing w:before="0"/>
        <w:ind w:left="840" w:right="168" w:hanging="720"/>
        <w:jc w:val="both"/>
        <w:rPr>
          <w:sz w:val="22"/>
        </w:rPr>
      </w:pPr>
      <w:r>
        <w:rPr>
          <w:sz w:val="22"/>
        </w:rPr>
        <w:t>Tanjasiri,</w:t>
      </w:r>
      <w:r>
        <w:rPr>
          <w:spacing w:val="-3"/>
          <w:sz w:val="22"/>
        </w:rPr>
        <w:t> </w:t>
      </w:r>
      <w:r>
        <w:rPr>
          <w:sz w:val="22"/>
        </w:rPr>
        <w:t>S.P.</w:t>
      </w:r>
      <w:r>
        <w:rPr>
          <w:spacing w:val="-3"/>
          <w:sz w:val="22"/>
        </w:rPr>
        <w:t> </w:t>
      </w:r>
      <w:r>
        <w:rPr>
          <w:sz w:val="22"/>
        </w:rPr>
        <w:t>&amp;</w:t>
      </w:r>
      <w:r>
        <w:rPr>
          <w:spacing w:val="-4"/>
          <w:sz w:val="22"/>
        </w:rPr>
        <w:t> </w:t>
      </w:r>
      <w:r>
        <w:rPr>
          <w:sz w:val="22"/>
        </w:rPr>
        <w:t>Sablan-Santos,</w:t>
      </w:r>
      <w:r>
        <w:rPr>
          <w:spacing w:val="-3"/>
          <w:sz w:val="22"/>
        </w:rPr>
        <w:t> </w:t>
      </w:r>
      <w:r>
        <w:rPr>
          <w:sz w:val="22"/>
        </w:rPr>
        <w:t>L.</w:t>
      </w:r>
      <w:r>
        <w:rPr>
          <w:spacing w:val="-5"/>
          <w:sz w:val="22"/>
        </w:rPr>
        <w:t> </w:t>
      </w:r>
      <w:r>
        <w:rPr>
          <w:sz w:val="22"/>
        </w:rPr>
        <w:t>(2001).</w:t>
      </w:r>
      <w:r>
        <w:rPr>
          <w:spacing w:val="-3"/>
          <w:sz w:val="22"/>
        </w:rPr>
        <w:t> </w:t>
      </w:r>
      <w:r>
        <w:rPr>
          <w:sz w:val="22"/>
        </w:rPr>
        <w:t>Breast</w:t>
      </w:r>
      <w:r>
        <w:rPr>
          <w:spacing w:val="-2"/>
          <w:sz w:val="22"/>
        </w:rPr>
        <w:t> </w:t>
      </w:r>
      <w:r>
        <w:rPr>
          <w:sz w:val="22"/>
        </w:rPr>
        <w:t>cancer</w:t>
      </w:r>
      <w:r>
        <w:rPr>
          <w:spacing w:val="-2"/>
          <w:sz w:val="22"/>
        </w:rPr>
        <w:t> </w:t>
      </w:r>
      <w:r>
        <w:rPr>
          <w:sz w:val="22"/>
        </w:rPr>
        <w:t>screening</w:t>
      </w:r>
      <w:r>
        <w:rPr>
          <w:spacing w:val="-5"/>
          <w:sz w:val="22"/>
        </w:rPr>
        <w:t> </w:t>
      </w:r>
      <w:r>
        <w:rPr>
          <w:sz w:val="22"/>
        </w:rPr>
        <w:t>among</w:t>
      </w:r>
      <w:r>
        <w:rPr>
          <w:spacing w:val="-4"/>
          <w:sz w:val="22"/>
        </w:rPr>
        <w:t> </w:t>
      </w:r>
      <w:r>
        <w:rPr>
          <w:sz w:val="22"/>
        </w:rPr>
        <w:t>Chamorro</w:t>
      </w:r>
      <w:r>
        <w:rPr>
          <w:spacing w:val="-3"/>
          <w:sz w:val="22"/>
        </w:rPr>
        <w:t> </w:t>
      </w:r>
      <w:r>
        <w:rPr>
          <w:sz w:val="22"/>
        </w:rPr>
        <w:t>women</w:t>
      </w:r>
      <w:r>
        <w:rPr>
          <w:spacing w:val="-3"/>
          <w:sz w:val="22"/>
        </w:rPr>
        <w:t> </w:t>
      </w:r>
      <w:r>
        <w:rPr>
          <w:sz w:val="22"/>
        </w:rPr>
        <w:t>in</w:t>
      </w:r>
      <w:r>
        <w:rPr>
          <w:spacing w:val="-3"/>
          <w:sz w:val="22"/>
        </w:rPr>
        <w:t> </w:t>
      </w:r>
      <w:r>
        <w:rPr>
          <w:sz w:val="22"/>
        </w:rPr>
        <w:t>Southern California. </w:t>
      </w:r>
      <w:r>
        <w:rPr>
          <w:i/>
          <w:sz w:val="22"/>
        </w:rPr>
        <w:t>Journal of Women’s Health and Gender-Based Medicine, </w:t>
      </w:r>
      <w:r>
        <w:rPr>
          <w:sz w:val="22"/>
        </w:rPr>
        <w:t>10(5), 479-485.</w:t>
      </w:r>
    </w:p>
    <w:p>
      <w:pPr>
        <w:pStyle w:val="BodyText"/>
        <w:ind w:left="840" w:right="320" w:hanging="720"/>
      </w:pPr>
      <w:r>
        <w:rPr/>
        <w:t>Tanjasiri,</w:t>
      </w:r>
      <w:r>
        <w:rPr>
          <w:spacing w:val="-3"/>
        </w:rPr>
        <w:t> </w:t>
      </w:r>
      <w:r>
        <w:rPr/>
        <w:t>S.P.,</w:t>
      </w:r>
      <w:r>
        <w:rPr>
          <w:spacing w:val="-3"/>
        </w:rPr>
        <w:t> </w:t>
      </w:r>
      <w:r>
        <w:rPr/>
        <w:t>Wallace,</w:t>
      </w:r>
      <w:r>
        <w:rPr>
          <w:spacing w:val="-3"/>
        </w:rPr>
        <w:t> </w:t>
      </w:r>
      <w:r>
        <w:rPr/>
        <w:t>S.P.</w:t>
      </w:r>
      <w:r>
        <w:rPr>
          <w:spacing w:val="-3"/>
        </w:rPr>
        <w:t> </w:t>
      </w:r>
      <w:r>
        <w:rPr/>
        <w:t>&amp;</w:t>
      </w:r>
      <w:r>
        <w:rPr>
          <w:spacing w:val="-3"/>
        </w:rPr>
        <w:t> </w:t>
      </w:r>
      <w:r>
        <w:rPr/>
        <w:t>Shibata,</w:t>
      </w:r>
      <w:r>
        <w:rPr>
          <w:spacing w:val="-5"/>
        </w:rPr>
        <w:t> </w:t>
      </w:r>
      <w:r>
        <w:rPr/>
        <w:t>K.</w:t>
      </w:r>
      <w:r>
        <w:rPr>
          <w:spacing w:val="-6"/>
        </w:rPr>
        <w:t> </w:t>
      </w:r>
      <w:r>
        <w:rPr/>
        <w:t>(1995).</w:t>
      </w:r>
      <w:r>
        <w:rPr>
          <w:spacing w:val="-3"/>
        </w:rPr>
        <w:t> </w:t>
      </w:r>
      <w:r>
        <w:rPr/>
        <w:t>Picture</w:t>
      </w:r>
      <w:r>
        <w:rPr>
          <w:spacing w:val="-3"/>
        </w:rPr>
        <w:t> </w:t>
      </w:r>
      <w:r>
        <w:rPr/>
        <w:t>imperfect:</w:t>
      </w:r>
      <w:r>
        <w:rPr>
          <w:spacing w:val="-2"/>
        </w:rPr>
        <w:t> </w:t>
      </w:r>
      <w:r>
        <w:rPr/>
        <w:t>hidden</w:t>
      </w:r>
      <w:r>
        <w:rPr>
          <w:spacing w:val="-3"/>
        </w:rPr>
        <w:t> </w:t>
      </w:r>
      <w:r>
        <w:rPr/>
        <w:t>problems</w:t>
      </w:r>
      <w:r>
        <w:rPr>
          <w:spacing w:val="-3"/>
        </w:rPr>
        <w:t> </w:t>
      </w:r>
      <w:r>
        <w:rPr/>
        <w:t>among</w:t>
      </w:r>
      <w:r>
        <w:rPr>
          <w:spacing w:val="-4"/>
        </w:rPr>
        <w:t> </w:t>
      </w:r>
      <w:r>
        <w:rPr/>
        <w:t>Asian Pacific Islander elderly. </w:t>
      </w:r>
      <w:r>
        <w:rPr>
          <w:i/>
        </w:rPr>
        <w:t>Gerontologist, 35</w:t>
      </w:r>
      <w:r>
        <w:rPr/>
        <w:t>(6), 753-60.</w:t>
      </w:r>
    </w:p>
    <w:p>
      <w:pPr>
        <w:pStyle w:val="BodyText"/>
        <w:ind w:left="840" w:right="320" w:hanging="720"/>
      </w:pPr>
      <w:r>
        <w:rPr/>
        <w:t>Taosaka,</w:t>
      </w:r>
      <w:r>
        <w:rPr>
          <w:spacing w:val="-3"/>
        </w:rPr>
        <w:t> </w:t>
      </w:r>
      <w:r>
        <w:rPr/>
        <w:t>S.</w:t>
      </w:r>
      <w:r>
        <w:rPr>
          <w:spacing w:val="-3"/>
        </w:rPr>
        <w:t> </w:t>
      </w:r>
      <w:r>
        <w:rPr/>
        <w:t>(2002).</w:t>
      </w:r>
      <w:r>
        <w:rPr>
          <w:spacing w:val="-3"/>
        </w:rPr>
        <w:t> </w:t>
      </w:r>
      <w:r>
        <w:rPr/>
        <w:t>Let’s</w:t>
      </w:r>
      <w:r>
        <w:rPr>
          <w:spacing w:val="-5"/>
        </w:rPr>
        <w:t> </w:t>
      </w:r>
      <w:r>
        <w:rPr/>
        <w:t>talk</w:t>
      </w:r>
      <w:r>
        <w:rPr>
          <w:spacing w:val="-6"/>
        </w:rPr>
        <w:t> </w:t>
      </w:r>
      <w:r>
        <w:rPr/>
        <w:t>story:</w:t>
      </w:r>
      <w:r>
        <w:rPr>
          <w:spacing w:val="-2"/>
        </w:rPr>
        <w:t> </w:t>
      </w:r>
      <w:r>
        <w:rPr/>
        <w:t>Non-threatening</w:t>
      </w:r>
      <w:r>
        <w:rPr>
          <w:spacing w:val="-6"/>
        </w:rPr>
        <w:t> </w:t>
      </w:r>
      <w:r>
        <w:rPr/>
        <w:t>instructional</w:t>
      </w:r>
      <w:r>
        <w:rPr>
          <w:spacing w:val="-2"/>
        </w:rPr>
        <w:t> </w:t>
      </w:r>
      <w:r>
        <w:rPr/>
        <w:t>strategy</w:t>
      </w:r>
      <w:r>
        <w:rPr>
          <w:spacing w:val="-6"/>
        </w:rPr>
        <w:t> </w:t>
      </w:r>
      <w:r>
        <w:rPr/>
        <w:t>encourages</w:t>
      </w:r>
      <w:r>
        <w:rPr>
          <w:spacing w:val="-3"/>
        </w:rPr>
        <w:t> </w:t>
      </w:r>
      <w:r>
        <w:rPr/>
        <w:t>student participation. </w:t>
      </w:r>
      <w:r>
        <w:rPr>
          <w:i/>
        </w:rPr>
        <w:t>Pacific Educator</w:t>
      </w:r>
      <w:r>
        <w:rPr/>
        <w:t>,</w:t>
      </w:r>
      <w:r>
        <w:rPr>
          <w:i/>
        </w:rPr>
        <w:t>1</w:t>
      </w:r>
      <w:r>
        <w:rPr/>
        <w:t>(1), 8-10.</w:t>
      </w:r>
    </w:p>
    <w:p>
      <w:pPr>
        <w:pStyle w:val="BodyText"/>
      </w:pPr>
      <w:r>
        <w:rPr/>
        <w:t>U.S.</w:t>
      </w:r>
      <w:r>
        <w:rPr>
          <w:spacing w:val="-2"/>
        </w:rPr>
        <w:t> </w:t>
      </w:r>
      <w:r>
        <w:rPr/>
        <w:t>Bureau</w:t>
      </w:r>
      <w:r>
        <w:rPr>
          <w:spacing w:val="-4"/>
        </w:rPr>
        <w:t> </w:t>
      </w:r>
      <w:r>
        <w:rPr/>
        <w:t>of</w:t>
      </w:r>
      <w:r>
        <w:rPr>
          <w:spacing w:val="-4"/>
        </w:rPr>
        <w:t> </w:t>
      </w:r>
      <w:r>
        <w:rPr/>
        <w:t>the</w:t>
      </w:r>
      <w:r>
        <w:rPr>
          <w:spacing w:val="-1"/>
        </w:rPr>
        <w:t> </w:t>
      </w:r>
      <w:r>
        <w:rPr/>
        <w:t>Census,</w:t>
      </w:r>
      <w:r>
        <w:rPr>
          <w:spacing w:val="-6"/>
        </w:rPr>
        <w:t> </w:t>
      </w:r>
      <w:r>
        <w:rPr>
          <w:spacing w:val="-2"/>
        </w:rPr>
        <w:t>1993.</w:t>
      </w:r>
    </w:p>
    <w:p>
      <w:pPr>
        <w:pStyle w:val="BodyText"/>
        <w:ind w:left="840" w:hanging="720"/>
      </w:pPr>
      <w:r>
        <w:rPr/>
        <w:t>Vargas, R.B., Ryan, G.W., Jackson, C.A., Rodriguez, R. &amp; Freeman, H.P. (2008). </w:t>
      </w:r>
      <w:hyperlink r:id="rId11">
        <w:r>
          <w:rPr/>
          <w:t>Characteristics of the</w:t>
        </w:r>
      </w:hyperlink>
      <w:r>
        <w:rPr/>
        <w:t> </w:t>
      </w:r>
      <w:hyperlink r:id="rId11">
        <w:r>
          <w:rPr/>
          <w:t>original</w:t>
        </w:r>
        <w:r>
          <w:rPr>
            <w:spacing w:val="-2"/>
          </w:rPr>
          <w:t> </w:t>
        </w:r>
        <w:r>
          <w:rPr/>
          <w:t>patient</w:t>
        </w:r>
        <w:r>
          <w:rPr>
            <w:spacing w:val="-4"/>
          </w:rPr>
          <w:t> </w:t>
        </w:r>
        <w:r>
          <w:rPr/>
          <w:t>navigation</w:t>
        </w:r>
        <w:r>
          <w:rPr>
            <w:spacing w:val="-6"/>
          </w:rPr>
          <w:t> </w:t>
        </w:r>
        <w:r>
          <w:rPr/>
          <w:t>programs</w:t>
        </w:r>
        <w:r>
          <w:rPr>
            <w:spacing w:val="-3"/>
          </w:rPr>
          <w:t> </w:t>
        </w:r>
        <w:r>
          <w:rPr/>
          <w:t>to</w:t>
        </w:r>
        <w:r>
          <w:rPr>
            <w:spacing w:val="-3"/>
          </w:rPr>
          <w:t> </w:t>
        </w:r>
        <w:r>
          <w:rPr/>
          <w:t>reduce</w:t>
        </w:r>
        <w:r>
          <w:rPr>
            <w:spacing w:val="-5"/>
          </w:rPr>
          <w:t> </w:t>
        </w:r>
        <w:r>
          <w:rPr/>
          <w:t>disparities</w:t>
        </w:r>
        <w:r>
          <w:rPr>
            <w:spacing w:val="-5"/>
          </w:rPr>
          <w:t> </w:t>
        </w:r>
        <w:r>
          <w:rPr/>
          <w:t>in</w:t>
        </w:r>
        <w:r>
          <w:rPr>
            <w:spacing w:val="-6"/>
          </w:rPr>
          <w:t> </w:t>
        </w:r>
        <w:r>
          <w:rPr/>
          <w:t>the</w:t>
        </w:r>
        <w:r>
          <w:rPr>
            <w:spacing w:val="-3"/>
          </w:rPr>
          <w:t> </w:t>
        </w:r>
        <w:r>
          <w:rPr/>
          <w:t>diagnosis</w:t>
        </w:r>
        <w:r>
          <w:rPr>
            <w:spacing w:val="-3"/>
          </w:rPr>
          <w:t> </w:t>
        </w:r>
        <w:r>
          <w:rPr/>
          <w:t>and</w:t>
        </w:r>
        <w:r>
          <w:rPr>
            <w:spacing w:val="-6"/>
          </w:rPr>
          <w:t> </w:t>
        </w:r>
        <w:r>
          <w:rPr/>
          <w:t>treatment</w:t>
        </w:r>
        <w:r>
          <w:rPr>
            <w:spacing w:val="-2"/>
          </w:rPr>
          <w:t> </w:t>
        </w:r>
        <w:r>
          <w:rPr/>
          <w:t>of</w:t>
        </w:r>
        <w:r>
          <w:rPr>
            <w:spacing w:val="-3"/>
          </w:rPr>
          <w:t> </w:t>
        </w:r>
        <w:r>
          <w:rPr/>
          <w:t>breast</w:t>
        </w:r>
      </w:hyperlink>
      <w:r>
        <w:rPr/>
        <w:t> </w:t>
      </w:r>
      <w:hyperlink r:id="rId11">
        <w:r>
          <w:rPr/>
          <w:t>cancer.</w:t>
        </w:r>
      </w:hyperlink>
      <w:r>
        <w:rPr/>
        <w:t> </w:t>
      </w:r>
      <w:r>
        <w:rPr>
          <w:i/>
        </w:rPr>
        <w:t>Cancer, 113</w:t>
      </w:r>
      <w:r>
        <w:rPr/>
        <w:t>(2), 426-33.</w:t>
      </w:r>
    </w:p>
    <w:p>
      <w:pPr>
        <w:pStyle w:val="BodyText"/>
        <w:ind w:left="840" w:right="188" w:hanging="720"/>
      </w:pPr>
      <w:r>
        <w:rPr/>
        <w:t>Wallerstein,</w:t>
      </w:r>
      <w:r>
        <w:rPr>
          <w:spacing w:val="-3"/>
        </w:rPr>
        <w:t> </w:t>
      </w:r>
      <w:r>
        <w:rPr/>
        <w:t>N.</w:t>
      </w:r>
      <w:r>
        <w:rPr>
          <w:spacing w:val="-3"/>
        </w:rPr>
        <w:t> </w:t>
      </w:r>
      <w:r>
        <w:rPr/>
        <w:t>&amp;</w:t>
      </w:r>
      <w:r>
        <w:rPr>
          <w:spacing w:val="-4"/>
        </w:rPr>
        <w:t> </w:t>
      </w:r>
      <w:r>
        <w:rPr/>
        <w:t>B.</w:t>
      </w:r>
      <w:r>
        <w:rPr>
          <w:spacing w:val="-3"/>
        </w:rPr>
        <w:t> </w:t>
      </w:r>
      <w:r>
        <w:rPr/>
        <w:t>Duran</w:t>
      </w:r>
      <w:r>
        <w:rPr>
          <w:spacing w:val="-5"/>
        </w:rPr>
        <w:t> </w:t>
      </w:r>
      <w:r>
        <w:rPr/>
        <w:t>(2003).</w:t>
      </w:r>
      <w:r>
        <w:rPr>
          <w:spacing w:val="-6"/>
        </w:rPr>
        <w:t> </w:t>
      </w:r>
      <w:r>
        <w:rPr/>
        <w:t>The</w:t>
      </w:r>
      <w:r>
        <w:rPr>
          <w:spacing w:val="-1"/>
        </w:rPr>
        <w:t> </w:t>
      </w:r>
      <w:r>
        <w:rPr/>
        <w:t>Conceptual,</w:t>
      </w:r>
      <w:r>
        <w:rPr>
          <w:spacing w:val="-3"/>
        </w:rPr>
        <w:t> </w:t>
      </w:r>
      <w:r>
        <w:rPr/>
        <w:t>Historical</w:t>
      </w:r>
      <w:r>
        <w:rPr>
          <w:spacing w:val="-2"/>
        </w:rPr>
        <w:t> </w:t>
      </w:r>
      <w:r>
        <w:rPr/>
        <w:t>and</w:t>
      </w:r>
      <w:r>
        <w:rPr>
          <w:spacing w:val="-5"/>
        </w:rPr>
        <w:t> </w:t>
      </w:r>
      <w:r>
        <w:rPr/>
        <w:t>Practical</w:t>
      </w:r>
      <w:r>
        <w:rPr>
          <w:spacing w:val="-2"/>
        </w:rPr>
        <w:t> </w:t>
      </w:r>
      <w:r>
        <w:rPr/>
        <w:t>Roots</w:t>
      </w:r>
      <w:r>
        <w:rPr>
          <w:spacing w:val="-3"/>
        </w:rPr>
        <w:t> </w:t>
      </w:r>
      <w:r>
        <w:rPr/>
        <w:t>of</w:t>
      </w:r>
      <w:r>
        <w:rPr>
          <w:spacing w:val="-2"/>
        </w:rPr>
        <w:t> </w:t>
      </w:r>
      <w:r>
        <w:rPr/>
        <w:t>Community</w:t>
      </w:r>
      <w:r>
        <w:rPr>
          <w:spacing w:val="-6"/>
        </w:rPr>
        <w:t> </w:t>
      </w:r>
      <w:r>
        <w:rPr/>
        <w:t>Based Participatory Research and Related Participatory Traditions. Community Based Participatory Research for Health. In M. Minkler and N. Wallerstein (pp27-52). San Francisco, CA: Jossey </w:t>
      </w:r>
      <w:r>
        <w:rPr>
          <w:spacing w:val="-2"/>
        </w:rPr>
        <w:t>Bass.</w:t>
      </w:r>
    </w:p>
    <w:p>
      <w:pPr>
        <w:pStyle w:val="BodyText"/>
        <w:ind w:left="840" w:right="193" w:hanging="720"/>
        <w:jc w:val="both"/>
      </w:pPr>
      <w:r>
        <w:rPr/>
        <w:t>Wells,</w:t>
      </w:r>
      <w:r>
        <w:rPr>
          <w:spacing w:val="-3"/>
        </w:rPr>
        <w:t> </w:t>
      </w:r>
      <w:r>
        <w:rPr/>
        <w:t>K.J., Battaglia,</w:t>
      </w:r>
      <w:r>
        <w:rPr>
          <w:spacing w:val="-2"/>
        </w:rPr>
        <w:t> </w:t>
      </w:r>
      <w:r>
        <w:rPr/>
        <w:t>T.A.,</w:t>
      </w:r>
      <w:r>
        <w:rPr>
          <w:spacing w:val="-3"/>
        </w:rPr>
        <w:t> </w:t>
      </w:r>
      <w:r>
        <w:rPr/>
        <w:t>Dudley, D.J., Garcia, R., Greene, A., Calhoun, E.,</w:t>
      </w:r>
      <w:r>
        <w:rPr>
          <w:spacing w:val="-3"/>
        </w:rPr>
        <w:t> </w:t>
      </w:r>
      <w:r>
        <w:rPr/>
        <w:t>Mandelblatt,</w:t>
      </w:r>
      <w:r>
        <w:rPr>
          <w:spacing w:val="-3"/>
        </w:rPr>
        <w:t> </w:t>
      </w:r>
      <w:r>
        <w:rPr/>
        <w:t>J.S., Paskett, E.D.,</w:t>
      </w:r>
      <w:r>
        <w:rPr>
          <w:spacing w:val="-3"/>
        </w:rPr>
        <w:t> </w:t>
      </w:r>
      <w:r>
        <w:rPr/>
        <w:t>Raich,</w:t>
      </w:r>
      <w:r>
        <w:rPr>
          <w:spacing w:val="-3"/>
        </w:rPr>
        <w:t> </w:t>
      </w:r>
      <w:r>
        <w:rPr/>
        <w:t>P.C.,</w:t>
      </w:r>
      <w:r>
        <w:rPr>
          <w:spacing w:val="-3"/>
        </w:rPr>
        <w:t> </w:t>
      </w:r>
      <w:r>
        <w:rPr/>
        <w:t>and</w:t>
      </w:r>
      <w:r>
        <w:rPr>
          <w:spacing w:val="-5"/>
        </w:rPr>
        <w:t> </w:t>
      </w:r>
      <w:r>
        <w:rPr/>
        <w:t>the</w:t>
      </w:r>
      <w:r>
        <w:rPr>
          <w:spacing w:val="-3"/>
        </w:rPr>
        <w:t> </w:t>
      </w:r>
      <w:r>
        <w:rPr/>
        <w:t>Patient</w:t>
      </w:r>
      <w:r>
        <w:rPr>
          <w:spacing w:val="-2"/>
        </w:rPr>
        <w:t> </w:t>
      </w:r>
      <w:r>
        <w:rPr/>
        <w:t>Navigation</w:t>
      </w:r>
      <w:r>
        <w:rPr>
          <w:spacing w:val="-3"/>
        </w:rPr>
        <w:t> </w:t>
      </w:r>
      <w:r>
        <w:rPr/>
        <w:t>Research</w:t>
      </w:r>
      <w:r>
        <w:rPr>
          <w:spacing w:val="-5"/>
        </w:rPr>
        <w:t> </w:t>
      </w:r>
      <w:r>
        <w:rPr/>
        <w:t>Program.</w:t>
      </w:r>
      <w:r>
        <w:rPr>
          <w:spacing w:val="-1"/>
        </w:rPr>
        <w:t> </w:t>
      </w:r>
      <w:r>
        <w:rPr/>
        <w:t>(2008).</w:t>
      </w:r>
      <w:r>
        <w:rPr>
          <w:spacing w:val="-3"/>
        </w:rPr>
        <w:t> </w:t>
      </w:r>
      <w:r>
        <w:rPr/>
        <w:t>Patient</w:t>
      </w:r>
      <w:r>
        <w:rPr>
          <w:spacing w:val="-2"/>
        </w:rPr>
        <w:t> </w:t>
      </w:r>
      <w:r>
        <w:rPr/>
        <w:t>navigation:</w:t>
      </w:r>
      <w:r>
        <w:rPr>
          <w:spacing w:val="-2"/>
        </w:rPr>
        <w:t> </w:t>
      </w:r>
      <w:r>
        <w:rPr/>
        <w:t>state of the art or is it science? </w:t>
      </w:r>
      <w:r>
        <w:rPr>
          <w:i/>
        </w:rPr>
        <w:t>Cancer, 113</w:t>
      </w:r>
      <w:r>
        <w:rPr/>
        <w:t>(8), 1999-2010.</w:t>
      </w:r>
    </w:p>
    <w:p>
      <w:pPr>
        <w:spacing w:before="0"/>
        <w:ind w:left="840" w:right="306" w:hanging="720"/>
        <w:jc w:val="both"/>
        <w:rPr>
          <w:sz w:val="22"/>
        </w:rPr>
      </w:pPr>
      <w:r>
        <w:rPr>
          <w:sz w:val="22"/>
        </w:rPr>
        <w:t>Wells,</w:t>
      </w:r>
      <w:r>
        <w:rPr>
          <w:spacing w:val="-5"/>
          <w:sz w:val="22"/>
        </w:rPr>
        <w:t> </w:t>
      </w:r>
      <w:r>
        <w:rPr>
          <w:sz w:val="22"/>
        </w:rPr>
        <w:t>K.,</w:t>
      </w:r>
      <w:r>
        <w:rPr>
          <w:spacing w:val="-6"/>
          <w:sz w:val="22"/>
        </w:rPr>
        <w:t> </w:t>
      </w:r>
      <w:r>
        <w:rPr>
          <w:sz w:val="22"/>
        </w:rPr>
        <w:t>Jones,</w:t>
      </w:r>
      <w:r>
        <w:rPr>
          <w:spacing w:val="-3"/>
          <w:sz w:val="22"/>
        </w:rPr>
        <w:t> </w:t>
      </w:r>
      <w:r>
        <w:rPr>
          <w:sz w:val="22"/>
        </w:rPr>
        <w:t>L.</w:t>
      </w:r>
      <w:r>
        <w:rPr>
          <w:spacing w:val="-3"/>
          <w:sz w:val="22"/>
        </w:rPr>
        <w:t> </w:t>
      </w:r>
      <w:r>
        <w:rPr>
          <w:sz w:val="22"/>
        </w:rPr>
        <w:t>(2009).</w:t>
      </w:r>
      <w:r>
        <w:rPr>
          <w:spacing w:val="-6"/>
          <w:sz w:val="22"/>
        </w:rPr>
        <w:t> </w:t>
      </w:r>
      <w:r>
        <w:rPr>
          <w:sz w:val="22"/>
        </w:rPr>
        <w:t>“Research”</w:t>
      </w:r>
      <w:r>
        <w:rPr>
          <w:spacing w:val="-3"/>
          <w:sz w:val="22"/>
        </w:rPr>
        <w:t> </w:t>
      </w:r>
      <w:r>
        <w:rPr>
          <w:sz w:val="22"/>
        </w:rPr>
        <w:t>in</w:t>
      </w:r>
      <w:r>
        <w:rPr>
          <w:spacing w:val="-3"/>
          <w:sz w:val="22"/>
        </w:rPr>
        <w:t> </w:t>
      </w:r>
      <w:r>
        <w:rPr>
          <w:sz w:val="22"/>
        </w:rPr>
        <w:t>Community–Partnered</w:t>
      </w:r>
      <w:r>
        <w:rPr>
          <w:spacing w:val="-3"/>
          <w:sz w:val="22"/>
        </w:rPr>
        <w:t> </w:t>
      </w:r>
      <w:r>
        <w:rPr>
          <w:sz w:val="22"/>
        </w:rPr>
        <w:t>Participatory</w:t>
      </w:r>
      <w:r>
        <w:rPr>
          <w:spacing w:val="-6"/>
          <w:sz w:val="22"/>
        </w:rPr>
        <w:t> </w:t>
      </w:r>
      <w:r>
        <w:rPr>
          <w:sz w:val="22"/>
        </w:rPr>
        <w:t>Research.</w:t>
      </w:r>
      <w:r>
        <w:rPr>
          <w:spacing w:val="-1"/>
          <w:sz w:val="22"/>
        </w:rPr>
        <w:t> </w:t>
      </w:r>
      <w:r>
        <w:rPr>
          <w:i/>
          <w:sz w:val="22"/>
        </w:rPr>
        <w:t>Journal</w:t>
      </w:r>
      <w:r>
        <w:rPr>
          <w:i/>
          <w:spacing w:val="-2"/>
          <w:sz w:val="22"/>
        </w:rPr>
        <w:t> </w:t>
      </w:r>
      <w:r>
        <w:rPr>
          <w:i/>
          <w:sz w:val="22"/>
        </w:rPr>
        <w:t>of</w:t>
      </w:r>
      <w:r>
        <w:rPr>
          <w:i/>
          <w:spacing w:val="-2"/>
          <w:sz w:val="22"/>
        </w:rPr>
        <w:t> </w:t>
      </w:r>
      <w:r>
        <w:rPr>
          <w:i/>
          <w:sz w:val="22"/>
        </w:rPr>
        <w:t>the</w:t>
      </w:r>
      <w:r>
        <w:rPr>
          <w:i/>
          <w:sz w:val="22"/>
        </w:rPr>
        <w:t> American Medical Association, 302</w:t>
      </w:r>
      <w:r>
        <w:rPr>
          <w:sz w:val="22"/>
        </w:rPr>
        <w:t>(3), 320-321.</w:t>
      </w:r>
    </w:p>
    <w:p>
      <w:pPr>
        <w:pStyle w:val="BodyText"/>
        <w:spacing w:before="1"/>
        <w:ind w:left="840" w:right="320" w:hanging="720"/>
      </w:pPr>
      <w:r>
        <w:rPr/>
        <w:t>Wolff, M., Maurana, C.A. (2001). Building Effective Community-Academic Partnership to Improve Health:</w:t>
      </w:r>
      <w:r>
        <w:rPr>
          <w:spacing w:val="-2"/>
        </w:rPr>
        <w:t> </w:t>
      </w:r>
      <w:r>
        <w:rPr/>
        <w:t>A</w:t>
      </w:r>
      <w:r>
        <w:rPr>
          <w:spacing w:val="-4"/>
        </w:rPr>
        <w:t> </w:t>
      </w:r>
      <w:r>
        <w:rPr/>
        <w:t>Qualitative</w:t>
      </w:r>
      <w:r>
        <w:rPr>
          <w:spacing w:val="-3"/>
        </w:rPr>
        <w:t> </w:t>
      </w:r>
      <w:r>
        <w:rPr/>
        <w:t>Study</w:t>
      </w:r>
      <w:r>
        <w:rPr>
          <w:spacing w:val="-6"/>
        </w:rPr>
        <w:t> </w:t>
      </w:r>
      <w:r>
        <w:rPr/>
        <w:t>of</w:t>
      </w:r>
      <w:r>
        <w:rPr>
          <w:spacing w:val="-3"/>
        </w:rPr>
        <w:t> </w:t>
      </w:r>
      <w:r>
        <w:rPr/>
        <w:t>Perspectives</w:t>
      </w:r>
      <w:r>
        <w:rPr>
          <w:spacing w:val="-3"/>
        </w:rPr>
        <w:t> </w:t>
      </w:r>
      <w:r>
        <w:rPr/>
        <w:t>from</w:t>
      </w:r>
      <w:r>
        <w:rPr>
          <w:spacing w:val="-7"/>
        </w:rPr>
        <w:t> </w:t>
      </w:r>
      <w:r>
        <w:rPr/>
        <w:t>Communities. </w:t>
      </w:r>
      <w:r>
        <w:rPr>
          <w:i/>
        </w:rPr>
        <w:t>Academic</w:t>
      </w:r>
      <w:r>
        <w:rPr>
          <w:i/>
          <w:spacing w:val="-3"/>
        </w:rPr>
        <w:t> </w:t>
      </w:r>
      <w:r>
        <w:rPr>
          <w:i/>
        </w:rPr>
        <w:t>Medicine,</w:t>
      </w:r>
      <w:r>
        <w:rPr>
          <w:i/>
          <w:spacing w:val="-5"/>
        </w:rPr>
        <w:t> </w:t>
      </w:r>
      <w:r>
        <w:rPr>
          <w:i/>
        </w:rPr>
        <w:t>76</w:t>
      </w:r>
      <w:r>
        <w:rPr/>
        <w:t>,</w:t>
      </w:r>
      <w:r>
        <w:rPr>
          <w:spacing w:val="-3"/>
        </w:rPr>
        <w:t> </w:t>
      </w:r>
      <w:r>
        <w:rPr/>
        <w:t>166- </w:t>
      </w:r>
      <w:r>
        <w:rPr>
          <w:spacing w:val="-4"/>
        </w:rPr>
        <w:t>172.</w:t>
      </w:r>
    </w:p>
    <w:p>
      <w:pPr>
        <w:spacing w:after="0"/>
        <w:sectPr>
          <w:pgSz w:w="12240" w:h="15840"/>
          <w:pgMar w:header="721" w:footer="792" w:top="1340" w:bottom="980" w:left="1320" w:right="1320"/>
        </w:sectPr>
      </w:pPr>
    </w:p>
    <w:p>
      <w:pPr>
        <w:pStyle w:val="BodyText"/>
        <w:spacing w:line="252" w:lineRule="exact" w:before="81"/>
        <w:ind w:left="3829"/>
      </w:pPr>
      <w:r>
        <w:rPr>
          <w:u w:val="single"/>
        </w:rPr>
        <w:t>Author</w:t>
      </w:r>
      <w:r>
        <w:rPr>
          <w:spacing w:val="-2"/>
          <w:u w:val="single"/>
        </w:rPr>
        <w:t> Information</w:t>
      </w:r>
    </w:p>
    <w:p>
      <w:pPr>
        <w:spacing w:before="0"/>
        <w:ind w:left="3829" w:right="3141" w:firstLine="0"/>
        <w:jc w:val="left"/>
        <w:rPr>
          <w:sz w:val="20"/>
        </w:rPr>
      </w:pPr>
      <w:r>
        <w:rPr>
          <w:sz w:val="20"/>
        </w:rPr>
        <w:t>*Diana M. Tisnado, PhD Adjunct</w:t>
      </w:r>
      <w:r>
        <w:rPr>
          <w:spacing w:val="-13"/>
          <w:sz w:val="20"/>
        </w:rPr>
        <w:t> </w:t>
      </w:r>
      <w:r>
        <w:rPr>
          <w:sz w:val="20"/>
        </w:rPr>
        <w:t>Assistant</w:t>
      </w:r>
      <w:r>
        <w:rPr>
          <w:spacing w:val="-12"/>
          <w:sz w:val="20"/>
        </w:rPr>
        <w:t> </w:t>
      </w:r>
      <w:r>
        <w:rPr>
          <w:sz w:val="20"/>
        </w:rPr>
        <w:t>Professor</w:t>
      </w:r>
    </w:p>
    <w:p>
      <w:pPr>
        <w:spacing w:before="0"/>
        <w:ind w:left="3829" w:right="1899" w:firstLine="0"/>
        <w:jc w:val="left"/>
        <w:rPr>
          <w:sz w:val="20"/>
        </w:rPr>
      </w:pPr>
      <w:r>
        <w:rPr>
          <w:sz w:val="20"/>
        </w:rPr>
        <w:t>Division</w:t>
      </w:r>
      <w:r>
        <w:rPr>
          <w:spacing w:val="-10"/>
          <w:sz w:val="20"/>
        </w:rPr>
        <w:t> </w:t>
      </w:r>
      <w:r>
        <w:rPr>
          <w:sz w:val="20"/>
        </w:rPr>
        <w:t>of</w:t>
      </w:r>
      <w:r>
        <w:rPr>
          <w:spacing w:val="-11"/>
          <w:sz w:val="20"/>
        </w:rPr>
        <w:t> </w:t>
      </w:r>
      <w:r>
        <w:rPr>
          <w:sz w:val="20"/>
        </w:rPr>
        <w:t>General</w:t>
      </w:r>
      <w:r>
        <w:rPr>
          <w:spacing w:val="-9"/>
          <w:sz w:val="20"/>
        </w:rPr>
        <w:t> </w:t>
      </w:r>
      <w:r>
        <w:rPr>
          <w:sz w:val="20"/>
        </w:rPr>
        <w:t>Internal</w:t>
      </w:r>
      <w:r>
        <w:rPr>
          <w:spacing w:val="-7"/>
          <w:sz w:val="20"/>
        </w:rPr>
        <w:t> </w:t>
      </w:r>
      <w:r>
        <w:rPr>
          <w:sz w:val="20"/>
        </w:rPr>
        <w:t>Medicine</w:t>
      </w:r>
      <w:r>
        <w:rPr>
          <w:spacing w:val="-9"/>
          <w:sz w:val="20"/>
        </w:rPr>
        <w:t> </w:t>
      </w:r>
      <w:r>
        <w:rPr>
          <w:sz w:val="20"/>
        </w:rPr>
        <w:t>and Health Services Research</w:t>
      </w:r>
    </w:p>
    <w:p>
      <w:pPr>
        <w:spacing w:before="1"/>
        <w:ind w:left="3829" w:right="2508" w:firstLine="0"/>
        <w:jc w:val="left"/>
        <w:rPr>
          <w:sz w:val="20"/>
        </w:rPr>
      </w:pPr>
      <w:r>
        <w:rPr>
          <w:sz w:val="20"/>
        </w:rPr>
        <w:t>David Geffen School of Medicine University</w:t>
      </w:r>
      <w:r>
        <w:rPr>
          <w:spacing w:val="-12"/>
          <w:sz w:val="20"/>
        </w:rPr>
        <w:t> </w:t>
      </w:r>
      <w:r>
        <w:rPr>
          <w:sz w:val="20"/>
        </w:rPr>
        <w:t>of</w:t>
      </w:r>
      <w:r>
        <w:rPr>
          <w:spacing w:val="-11"/>
          <w:sz w:val="20"/>
        </w:rPr>
        <w:t> </w:t>
      </w:r>
      <w:r>
        <w:rPr>
          <w:sz w:val="20"/>
        </w:rPr>
        <w:t>California,</w:t>
      </w:r>
      <w:r>
        <w:rPr>
          <w:spacing w:val="-12"/>
          <w:sz w:val="20"/>
        </w:rPr>
        <w:t> </w:t>
      </w:r>
      <w:r>
        <w:rPr>
          <w:sz w:val="20"/>
        </w:rPr>
        <w:t>Los</w:t>
      </w:r>
      <w:r>
        <w:rPr>
          <w:spacing w:val="-10"/>
          <w:sz w:val="20"/>
        </w:rPr>
        <w:t> </w:t>
      </w:r>
      <w:r>
        <w:rPr>
          <w:sz w:val="20"/>
        </w:rPr>
        <w:t>Angeles 911 Broxton Plaza</w:t>
      </w:r>
    </w:p>
    <w:p>
      <w:pPr>
        <w:spacing w:before="0"/>
        <w:ind w:left="3829" w:right="3141" w:firstLine="0"/>
        <w:jc w:val="left"/>
        <w:rPr>
          <w:sz w:val="20"/>
        </w:rPr>
      </w:pPr>
      <w:r>
        <w:rPr>
          <w:sz w:val="20"/>
        </w:rPr>
        <w:t>Los</w:t>
      </w:r>
      <w:r>
        <w:rPr>
          <w:spacing w:val="-11"/>
          <w:sz w:val="20"/>
        </w:rPr>
        <w:t> </w:t>
      </w:r>
      <w:r>
        <w:rPr>
          <w:sz w:val="20"/>
        </w:rPr>
        <w:t>Angeles,</w:t>
      </w:r>
      <w:r>
        <w:rPr>
          <w:spacing w:val="-12"/>
          <w:sz w:val="20"/>
        </w:rPr>
        <w:t> </w:t>
      </w:r>
      <w:r>
        <w:rPr>
          <w:sz w:val="20"/>
        </w:rPr>
        <w:t>CA</w:t>
      </w:r>
      <w:r>
        <w:rPr>
          <w:spacing w:val="-13"/>
          <w:sz w:val="20"/>
        </w:rPr>
        <w:t> </w:t>
      </w:r>
      <w:r>
        <w:rPr>
          <w:sz w:val="20"/>
        </w:rPr>
        <w:t>90095-1736 Telephone: 310-794-0711</w:t>
      </w:r>
    </w:p>
    <w:p>
      <w:pPr>
        <w:spacing w:before="0"/>
        <w:ind w:left="3829" w:right="0" w:firstLine="0"/>
        <w:jc w:val="left"/>
        <w:rPr>
          <w:sz w:val="20"/>
        </w:rPr>
      </w:pPr>
      <w:r>
        <w:rPr>
          <w:sz w:val="20"/>
        </w:rPr>
        <w:t>Email:</w:t>
      </w:r>
      <w:r>
        <w:rPr>
          <w:spacing w:val="-9"/>
          <w:sz w:val="20"/>
        </w:rPr>
        <w:t> </w:t>
      </w:r>
      <w:hyperlink r:id="rId12">
        <w:r>
          <w:rPr>
            <w:spacing w:val="-2"/>
            <w:sz w:val="20"/>
          </w:rPr>
          <w:t>dtisnado@mednet.ucla.edu</w:t>
        </w:r>
      </w:hyperlink>
    </w:p>
    <w:p>
      <w:pPr>
        <w:spacing w:before="228"/>
        <w:ind w:left="3829" w:right="0" w:firstLine="0"/>
        <w:jc w:val="left"/>
        <w:rPr>
          <w:sz w:val="20"/>
        </w:rPr>
      </w:pPr>
      <w:r>
        <w:rPr>
          <w:sz w:val="20"/>
        </w:rPr>
        <w:t>Lola</w:t>
      </w:r>
      <w:r>
        <w:rPr>
          <w:spacing w:val="-10"/>
          <w:sz w:val="20"/>
        </w:rPr>
        <w:t> </w:t>
      </w:r>
      <w:r>
        <w:rPr>
          <w:sz w:val="20"/>
        </w:rPr>
        <w:t>Sablan-</w:t>
      </w:r>
      <w:r>
        <w:rPr>
          <w:spacing w:val="-2"/>
          <w:sz w:val="20"/>
        </w:rPr>
        <w:t>Santos</w:t>
      </w:r>
    </w:p>
    <w:p>
      <w:pPr>
        <w:spacing w:before="1"/>
        <w:ind w:left="3829" w:right="0" w:firstLine="0"/>
        <w:jc w:val="left"/>
        <w:rPr>
          <w:sz w:val="20"/>
        </w:rPr>
      </w:pPr>
      <w:r>
        <w:rPr>
          <w:sz w:val="20"/>
        </w:rPr>
        <w:t>Guam</w:t>
      </w:r>
      <w:r>
        <w:rPr>
          <w:spacing w:val="-11"/>
          <w:sz w:val="20"/>
        </w:rPr>
        <w:t> </w:t>
      </w:r>
      <w:r>
        <w:rPr>
          <w:sz w:val="20"/>
        </w:rPr>
        <w:t>Communications</w:t>
      </w:r>
      <w:r>
        <w:rPr>
          <w:spacing w:val="-9"/>
          <w:sz w:val="20"/>
        </w:rPr>
        <w:t> </w:t>
      </w:r>
      <w:r>
        <w:rPr>
          <w:spacing w:val="-2"/>
          <w:sz w:val="20"/>
        </w:rPr>
        <w:t>Network</w:t>
      </w:r>
    </w:p>
    <w:p>
      <w:pPr>
        <w:pStyle w:val="BodyText"/>
        <w:ind w:left="0"/>
        <w:rPr>
          <w:sz w:val="20"/>
        </w:rPr>
      </w:pPr>
    </w:p>
    <w:p>
      <w:pPr>
        <w:spacing w:before="1"/>
        <w:ind w:left="3829" w:right="0" w:firstLine="0"/>
        <w:jc w:val="left"/>
        <w:rPr>
          <w:sz w:val="20"/>
        </w:rPr>
      </w:pPr>
      <w:r>
        <w:rPr>
          <w:sz w:val="20"/>
        </w:rPr>
        <w:t>Linda</w:t>
      </w:r>
      <w:r>
        <w:rPr>
          <w:spacing w:val="-6"/>
          <w:sz w:val="20"/>
        </w:rPr>
        <w:t> </w:t>
      </w:r>
      <w:r>
        <w:rPr>
          <w:spacing w:val="-2"/>
          <w:sz w:val="20"/>
        </w:rPr>
        <w:t>Guevara</w:t>
      </w:r>
    </w:p>
    <w:p>
      <w:pPr>
        <w:spacing w:before="1"/>
        <w:ind w:left="3829" w:right="0" w:firstLine="0"/>
        <w:jc w:val="left"/>
        <w:rPr>
          <w:sz w:val="20"/>
        </w:rPr>
      </w:pPr>
      <w:r>
        <w:rPr>
          <w:sz w:val="20"/>
        </w:rPr>
        <w:t>Guam</w:t>
      </w:r>
      <w:r>
        <w:rPr>
          <w:spacing w:val="-11"/>
          <w:sz w:val="20"/>
        </w:rPr>
        <w:t> </w:t>
      </w:r>
      <w:r>
        <w:rPr>
          <w:sz w:val="20"/>
        </w:rPr>
        <w:t>Communications</w:t>
      </w:r>
      <w:r>
        <w:rPr>
          <w:spacing w:val="-9"/>
          <w:sz w:val="20"/>
        </w:rPr>
        <w:t> </w:t>
      </w:r>
      <w:r>
        <w:rPr>
          <w:spacing w:val="-2"/>
          <w:sz w:val="20"/>
        </w:rPr>
        <w:t>Network</w:t>
      </w:r>
    </w:p>
    <w:p>
      <w:pPr>
        <w:spacing w:before="228"/>
        <w:ind w:left="3829" w:right="0" w:firstLine="0"/>
        <w:jc w:val="left"/>
        <w:rPr>
          <w:sz w:val="20"/>
        </w:rPr>
      </w:pPr>
      <w:r>
        <w:rPr>
          <w:sz w:val="20"/>
        </w:rPr>
        <w:t>Lourdes</w:t>
      </w:r>
      <w:r>
        <w:rPr>
          <w:spacing w:val="-10"/>
          <w:sz w:val="20"/>
        </w:rPr>
        <w:t> </w:t>
      </w:r>
      <w:r>
        <w:rPr>
          <w:spacing w:val="-2"/>
          <w:sz w:val="20"/>
        </w:rPr>
        <w:t>Quitugua</w:t>
      </w:r>
    </w:p>
    <w:p>
      <w:pPr>
        <w:spacing w:before="0"/>
        <w:ind w:left="3829" w:right="0" w:firstLine="0"/>
        <w:jc w:val="left"/>
        <w:rPr>
          <w:sz w:val="20"/>
        </w:rPr>
      </w:pPr>
      <w:r>
        <w:rPr>
          <w:sz w:val="20"/>
        </w:rPr>
        <w:t>Guam</w:t>
      </w:r>
      <w:r>
        <w:rPr>
          <w:spacing w:val="-11"/>
          <w:sz w:val="20"/>
        </w:rPr>
        <w:t> </w:t>
      </w:r>
      <w:r>
        <w:rPr>
          <w:sz w:val="20"/>
        </w:rPr>
        <w:t>Communications</w:t>
      </w:r>
      <w:r>
        <w:rPr>
          <w:spacing w:val="-9"/>
          <w:sz w:val="20"/>
        </w:rPr>
        <w:t> </w:t>
      </w:r>
      <w:r>
        <w:rPr>
          <w:spacing w:val="-2"/>
          <w:sz w:val="20"/>
        </w:rPr>
        <w:t>Network</w:t>
      </w:r>
    </w:p>
    <w:p>
      <w:pPr>
        <w:pStyle w:val="BodyText"/>
        <w:spacing w:before="1"/>
        <w:ind w:left="0"/>
        <w:rPr>
          <w:sz w:val="20"/>
        </w:rPr>
      </w:pPr>
    </w:p>
    <w:p>
      <w:pPr>
        <w:spacing w:before="0"/>
        <w:ind w:left="3829" w:right="0" w:firstLine="0"/>
        <w:jc w:val="left"/>
        <w:rPr>
          <w:sz w:val="20"/>
        </w:rPr>
      </w:pPr>
      <w:r>
        <w:rPr>
          <w:sz w:val="20"/>
        </w:rPr>
        <w:t>Keith</w:t>
      </w:r>
      <w:r>
        <w:rPr>
          <w:spacing w:val="-4"/>
          <w:sz w:val="20"/>
        </w:rPr>
        <w:t> </w:t>
      </w:r>
      <w:r>
        <w:rPr>
          <w:spacing w:val="-2"/>
          <w:sz w:val="20"/>
        </w:rPr>
        <w:t>Castro</w:t>
      </w:r>
    </w:p>
    <w:p>
      <w:pPr>
        <w:spacing w:before="1"/>
        <w:ind w:left="3829" w:right="0" w:firstLine="0"/>
        <w:jc w:val="left"/>
        <w:rPr>
          <w:sz w:val="20"/>
        </w:rPr>
      </w:pPr>
      <w:r>
        <w:rPr>
          <w:sz w:val="20"/>
        </w:rPr>
        <w:t>Guam</w:t>
      </w:r>
      <w:r>
        <w:rPr>
          <w:spacing w:val="-11"/>
          <w:sz w:val="20"/>
        </w:rPr>
        <w:t> </w:t>
      </w:r>
      <w:r>
        <w:rPr>
          <w:sz w:val="20"/>
        </w:rPr>
        <w:t>Communications</w:t>
      </w:r>
      <w:r>
        <w:rPr>
          <w:spacing w:val="-9"/>
          <w:sz w:val="20"/>
        </w:rPr>
        <w:t> </w:t>
      </w:r>
      <w:r>
        <w:rPr>
          <w:spacing w:val="-2"/>
          <w:sz w:val="20"/>
        </w:rPr>
        <w:t>Network</w:t>
      </w:r>
    </w:p>
    <w:p>
      <w:pPr>
        <w:spacing w:before="228"/>
        <w:ind w:left="3829" w:right="0" w:firstLine="0"/>
        <w:jc w:val="left"/>
        <w:rPr>
          <w:sz w:val="20"/>
        </w:rPr>
      </w:pPr>
      <w:r>
        <w:rPr>
          <w:sz w:val="20"/>
        </w:rPr>
        <w:t>Jay</w:t>
      </w:r>
      <w:r>
        <w:rPr>
          <w:spacing w:val="-3"/>
          <w:sz w:val="20"/>
        </w:rPr>
        <w:t> </w:t>
      </w:r>
      <w:r>
        <w:rPr>
          <w:spacing w:val="-2"/>
          <w:sz w:val="20"/>
        </w:rPr>
        <w:t>Aromin</w:t>
      </w:r>
    </w:p>
    <w:p>
      <w:pPr>
        <w:spacing w:before="1"/>
        <w:ind w:left="3829" w:right="0" w:firstLine="0"/>
        <w:jc w:val="left"/>
        <w:rPr>
          <w:sz w:val="20"/>
        </w:rPr>
      </w:pPr>
      <w:r>
        <w:rPr>
          <w:sz w:val="20"/>
        </w:rPr>
        <w:t>Guam</w:t>
      </w:r>
      <w:r>
        <w:rPr>
          <w:spacing w:val="-11"/>
          <w:sz w:val="20"/>
        </w:rPr>
        <w:t> </w:t>
      </w:r>
      <w:r>
        <w:rPr>
          <w:sz w:val="20"/>
        </w:rPr>
        <w:t>Communications</w:t>
      </w:r>
      <w:r>
        <w:rPr>
          <w:spacing w:val="-9"/>
          <w:sz w:val="20"/>
        </w:rPr>
        <w:t> </w:t>
      </w:r>
      <w:r>
        <w:rPr>
          <w:spacing w:val="-2"/>
          <w:sz w:val="20"/>
        </w:rPr>
        <w:t>Network</w:t>
      </w:r>
    </w:p>
    <w:p>
      <w:pPr>
        <w:pStyle w:val="BodyText"/>
        <w:ind w:left="0"/>
        <w:rPr>
          <w:sz w:val="20"/>
        </w:rPr>
      </w:pPr>
    </w:p>
    <w:p>
      <w:pPr>
        <w:spacing w:before="0"/>
        <w:ind w:left="3829" w:right="0" w:firstLine="0"/>
        <w:jc w:val="left"/>
        <w:rPr>
          <w:sz w:val="20"/>
        </w:rPr>
      </w:pPr>
      <w:r>
        <w:rPr>
          <w:sz w:val="20"/>
        </w:rPr>
        <w:t>Joey</w:t>
      </w:r>
      <w:r>
        <w:rPr>
          <w:spacing w:val="-5"/>
          <w:sz w:val="20"/>
        </w:rPr>
        <w:t> </w:t>
      </w:r>
      <w:r>
        <w:rPr>
          <w:spacing w:val="-2"/>
          <w:sz w:val="20"/>
        </w:rPr>
        <w:t>Quenga</w:t>
      </w:r>
    </w:p>
    <w:p>
      <w:pPr>
        <w:spacing w:before="1"/>
        <w:ind w:left="3829" w:right="0" w:firstLine="0"/>
        <w:jc w:val="left"/>
        <w:rPr>
          <w:sz w:val="20"/>
        </w:rPr>
      </w:pPr>
      <w:r>
        <w:rPr>
          <w:sz w:val="20"/>
        </w:rPr>
        <w:t>Guam</w:t>
      </w:r>
      <w:r>
        <w:rPr>
          <w:spacing w:val="-11"/>
          <w:sz w:val="20"/>
        </w:rPr>
        <w:t> </w:t>
      </w:r>
      <w:r>
        <w:rPr>
          <w:sz w:val="20"/>
        </w:rPr>
        <w:t>Communications</w:t>
      </w:r>
      <w:r>
        <w:rPr>
          <w:spacing w:val="-9"/>
          <w:sz w:val="20"/>
        </w:rPr>
        <w:t> </w:t>
      </w:r>
      <w:r>
        <w:rPr>
          <w:spacing w:val="-2"/>
          <w:sz w:val="20"/>
        </w:rPr>
        <w:t>Network</w:t>
      </w:r>
    </w:p>
    <w:p>
      <w:pPr>
        <w:spacing w:before="228"/>
        <w:ind w:left="3829" w:right="0" w:firstLine="0"/>
        <w:jc w:val="left"/>
        <w:rPr>
          <w:sz w:val="20"/>
        </w:rPr>
      </w:pPr>
      <w:r>
        <w:rPr>
          <w:sz w:val="20"/>
        </w:rPr>
        <w:t>Jacqueline</w:t>
      </w:r>
      <w:r>
        <w:rPr>
          <w:spacing w:val="-7"/>
          <w:sz w:val="20"/>
        </w:rPr>
        <w:t> </w:t>
      </w:r>
      <w:r>
        <w:rPr>
          <w:sz w:val="20"/>
        </w:rPr>
        <w:t>Tran,</w:t>
      </w:r>
      <w:r>
        <w:rPr>
          <w:spacing w:val="-7"/>
          <w:sz w:val="20"/>
        </w:rPr>
        <w:t> </w:t>
      </w:r>
      <w:r>
        <w:rPr>
          <w:spacing w:val="-5"/>
          <w:sz w:val="20"/>
        </w:rPr>
        <w:t>MPH</w:t>
      </w:r>
    </w:p>
    <w:p>
      <w:pPr>
        <w:spacing w:before="1"/>
        <w:ind w:left="3829" w:right="644" w:firstLine="0"/>
        <w:jc w:val="left"/>
        <w:rPr>
          <w:sz w:val="20"/>
        </w:rPr>
      </w:pPr>
      <w:r>
        <w:rPr>
          <w:sz w:val="20"/>
        </w:rPr>
        <w:t>Promoting</w:t>
      </w:r>
      <w:r>
        <w:rPr>
          <w:spacing w:val="-6"/>
          <w:sz w:val="20"/>
        </w:rPr>
        <w:t> </w:t>
      </w:r>
      <w:r>
        <w:rPr>
          <w:sz w:val="20"/>
        </w:rPr>
        <w:t>Access</w:t>
      </w:r>
      <w:r>
        <w:rPr>
          <w:spacing w:val="-8"/>
          <w:sz w:val="20"/>
        </w:rPr>
        <w:t> </w:t>
      </w:r>
      <w:r>
        <w:rPr>
          <w:sz w:val="20"/>
        </w:rPr>
        <w:t>to</w:t>
      </w:r>
      <w:r>
        <w:rPr>
          <w:spacing w:val="-6"/>
          <w:sz w:val="20"/>
        </w:rPr>
        <w:t> </w:t>
      </w:r>
      <w:r>
        <w:rPr>
          <w:sz w:val="20"/>
        </w:rPr>
        <w:t>Health</w:t>
      </w:r>
      <w:r>
        <w:rPr>
          <w:spacing w:val="-6"/>
          <w:sz w:val="20"/>
        </w:rPr>
        <w:t> </w:t>
      </w:r>
      <w:r>
        <w:rPr>
          <w:sz w:val="20"/>
        </w:rPr>
        <w:t>for</w:t>
      </w:r>
      <w:r>
        <w:rPr>
          <w:spacing w:val="-7"/>
          <w:sz w:val="20"/>
        </w:rPr>
        <w:t> </w:t>
      </w:r>
      <w:r>
        <w:rPr>
          <w:sz w:val="20"/>
        </w:rPr>
        <w:t>Pacific</w:t>
      </w:r>
      <w:r>
        <w:rPr>
          <w:spacing w:val="-7"/>
          <w:sz w:val="20"/>
        </w:rPr>
        <w:t> </w:t>
      </w:r>
      <w:r>
        <w:rPr>
          <w:sz w:val="20"/>
        </w:rPr>
        <w:t>Islander</w:t>
      </w:r>
      <w:r>
        <w:rPr>
          <w:spacing w:val="-6"/>
          <w:sz w:val="20"/>
        </w:rPr>
        <w:t> </w:t>
      </w:r>
      <w:r>
        <w:rPr>
          <w:sz w:val="20"/>
        </w:rPr>
        <w:t>and</w:t>
      </w:r>
      <w:r>
        <w:rPr>
          <w:spacing w:val="-6"/>
          <w:sz w:val="20"/>
        </w:rPr>
        <w:t> </w:t>
      </w:r>
      <w:r>
        <w:rPr>
          <w:sz w:val="20"/>
        </w:rPr>
        <w:t>Southeast Asian Women Program</w:t>
      </w:r>
    </w:p>
    <w:p>
      <w:pPr>
        <w:spacing w:before="1"/>
        <w:ind w:left="3829" w:right="0" w:firstLine="0"/>
        <w:jc w:val="left"/>
        <w:rPr>
          <w:sz w:val="20"/>
        </w:rPr>
      </w:pPr>
      <w:r>
        <w:rPr>
          <w:sz w:val="20"/>
        </w:rPr>
        <w:t>Orange</w:t>
      </w:r>
      <w:r>
        <w:rPr>
          <w:spacing w:val="-5"/>
          <w:sz w:val="20"/>
        </w:rPr>
        <w:t> </w:t>
      </w:r>
      <w:r>
        <w:rPr>
          <w:sz w:val="20"/>
        </w:rPr>
        <w:t>County</w:t>
      </w:r>
      <w:r>
        <w:rPr>
          <w:spacing w:val="-7"/>
          <w:sz w:val="20"/>
        </w:rPr>
        <w:t> </w:t>
      </w:r>
      <w:r>
        <w:rPr>
          <w:sz w:val="20"/>
        </w:rPr>
        <w:t>Asian</w:t>
      </w:r>
      <w:r>
        <w:rPr>
          <w:spacing w:val="-7"/>
          <w:sz w:val="20"/>
        </w:rPr>
        <w:t> </w:t>
      </w:r>
      <w:r>
        <w:rPr>
          <w:sz w:val="20"/>
        </w:rPr>
        <w:t>and</w:t>
      </w:r>
      <w:r>
        <w:rPr>
          <w:spacing w:val="-5"/>
          <w:sz w:val="20"/>
        </w:rPr>
        <w:t> </w:t>
      </w:r>
      <w:r>
        <w:rPr>
          <w:sz w:val="20"/>
        </w:rPr>
        <w:t>Pacific</w:t>
      </w:r>
      <w:r>
        <w:rPr>
          <w:spacing w:val="-6"/>
          <w:sz w:val="20"/>
        </w:rPr>
        <w:t> </w:t>
      </w:r>
      <w:r>
        <w:rPr>
          <w:sz w:val="20"/>
        </w:rPr>
        <w:t>Islander</w:t>
      </w:r>
      <w:r>
        <w:rPr>
          <w:spacing w:val="-5"/>
          <w:sz w:val="20"/>
        </w:rPr>
        <w:t> </w:t>
      </w:r>
      <w:r>
        <w:rPr>
          <w:sz w:val="20"/>
        </w:rPr>
        <w:t>Community</w:t>
      </w:r>
      <w:r>
        <w:rPr>
          <w:spacing w:val="-7"/>
          <w:sz w:val="20"/>
        </w:rPr>
        <w:t> </w:t>
      </w:r>
      <w:r>
        <w:rPr>
          <w:spacing w:val="-2"/>
          <w:sz w:val="20"/>
        </w:rPr>
        <w:t>Alliance</w:t>
      </w:r>
    </w:p>
    <w:p>
      <w:pPr>
        <w:spacing w:before="0"/>
        <w:ind w:left="3829" w:right="0" w:firstLine="0"/>
        <w:jc w:val="left"/>
        <w:rPr>
          <w:sz w:val="20"/>
        </w:rPr>
      </w:pPr>
      <w:r>
        <w:rPr>
          <w:sz w:val="20"/>
        </w:rPr>
        <w:t>*</w:t>
      </w:r>
      <w:r>
        <w:rPr>
          <w:spacing w:val="-8"/>
          <w:sz w:val="20"/>
        </w:rPr>
        <w:t> </w:t>
      </w:r>
      <w:r>
        <w:rPr>
          <w:sz w:val="20"/>
        </w:rPr>
        <w:t>corresponding</w:t>
      </w:r>
      <w:r>
        <w:rPr>
          <w:spacing w:val="-8"/>
          <w:sz w:val="20"/>
        </w:rPr>
        <w:t> </w:t>
      </w:r>
      <w:r>
        <w:rPr>
          <w:spacing w:val="-2"/>
          <w:sz w:val="20"/>
        </w:rPr>
        <w:t>author</w:t>
      </w:r>
    </w:p>
    <w:sectPr>
      <w:pgSz w:w="12240" w:h="15840"/>
      <w:pgMar w:header="721" w:footer="792" w:top="1340" w:bottom="980" w:left="1320" w:right="132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rPr>
        <w:sz w:val="20"/>
      </w:rPr>
    </w:pPr>
    <w:r>
      <w:rPr/>
      <mc:AlternateContent>
        <mc:Choice Requires="wps">
          <w:drawing>
            <wp:anchor distT="0" distB="0" distL="0" distR="0" allowOverlap="1" layoutInCell="1" locked="0" behindDoc="1" simplePos="0" relativeHeight="487339008">
              <wp:simplePos x="0" y="0"/>
              <wp:positionH relativeFrom="page">
                <wp:posOffset>3778884</wp:posOffset>
              </wp:positionH>
              <wp:positionV relativeFrom="page">
                <wp:posOffset>9416009</wp:posOffset>
              </wp:positionV>
              <wp:extent cx="229235" cy="180975"/>
              <wp:effectExtent l="0" t="0" r="0" b="0"/>
              <wp:wrapNone/>
              <wp:docPr id="2" name="Textbox 2"/>
              <wp:cNvGraphicFramePr>
                <a:graphicFrameLocks/>
              </wp:cNvGraphicFramePr>
              <a:graphic>
                <a:graphicData uri="http://schemas.microsoft.com/office/word/2010/wordprocessingShape">
                  <wps:wsp>
                    <wps:cNvPr id="2" name="Textbox 2"/>
                    <wps:cNvSpPr txBox="1"/>
                    <wps:spPr>
                      <a:xfrm>
                        <a:off x="0" y="0"/>
                        <a:ext cx="229235" cy="180975"/>
                      </a:xfrm>
                      <a:prstGeom prst="rect">
                        <a:avLst/>
                      </a:prstGeom>
                    </wps:spPr>
                    <wps:txbx>
                      <w:txbxContent>
                        <w:p>
                          <w:pPr>
                            <w:pStyle w:val="BodyText"/>
                            <w:spacing w:before="11"/>
                            <w:ind w:left="60"/>
                          </w:pPr>
                          <w:r>
                            <w:rPr>
                              <w:spacing w:val="-5"/>
                            </w:rPr>
                            <w:fldChar w:fldCharType="begin"/>
                          </w:r>
                          <w:r>
                            <w:rPr>
                              <w:spacing w:val="-5"/>
                            </w:rPr>
                            <w:instrText> PAGE </w:instrText>
                          </w:r>
                          <w:r>
                            <w:rPr>
                              <w:spacing w:val="-5"/>
                            </w:rPr>
                            <w:fldChar w:fldCharType="separate"/>
                          </w:r>
                          <w:r>
                            <w:rPr>
                              <w:spacing w:val="-5"/>
                            </w:rPr>
                            <w:t>39</w:t>
                          </w:r>
                          <w:r>
                            <w:rPr>
                              <w:spacing w:val="-5"/>
                            </w:rPr>
                            <w:fldChar w:fldCharType="end"/>
                          </w:r>
                        </w:p>
                      </w:txbxContent>
                    </wps:txbx>
                    <wps:bodyPr wrap="square" lIns="0" tIns="0" rIns="0" bIns="0" rtlCol="0">
                      <a:noAutofit/>
                    </wps:bodyPr>
                  </wps:wsp>
                </a:graphicData>
              </a:graphic>
            </wp:anchor>
          </w:drawing>
        </mc:Choice>
        <mc:Fallback>
          <w:pict>
            <v:shape style="position:absolute;margin-left:297.549988pt;margin-top:741.418091pt;width:18.05pt;height:14.25pt;mso-position-horizontal-relative:page;mso-position-vertical-relative:page;z-index:-15977472" type="#_x0000_t202" id="docshape2" filled="false" stroked="false">
              <v:textbox inset="0,0,0,0">
                <w:txbxContent>
                  <w:p>
                    <w:pPr>
                      <w:pStyle w:val="BodyText"/>
                      <w:spacing w:before="11"/>
                      <w:ind w:left="60"/>
                    </w:pPr>
                    <w:r>
                      <w:rPr>
                        <w:spacing w:val="-5"/>
                      </w:rPr>
                      <w:fldChar w:fldCharType="begin"/>
                    </w:r>
                    <w:r>
                      <w:rPr>
                        <w:spacing w:val="-5"/>
                      </w:rPr>
                      <w:instrText> PAGE </w:instrText>
                    </w:r>
                    <w:r>
                      <w:rPr>
                        <w:spacing w:val="-5"/>
                      </w:rPr>
                      <w:fldChar w:fldCharType="separate"/>
                    </w:r>
                    <w:r>
                      <w:rPr>
                        <w:spacing w:val="-5"/>
                      </w:rPr>
                      <w:t>39</w:t>
                    </w:r>
                    <w:r>
                      <w:rPr>
                        <w:spacing w:val="-5"/>
                      </w:rPr>
                      <w:fldChar w:fldCharType="end"/>
                    </w:r>
                  </w:p>
                </w:txbxContent>
              </v:textbox>
              <w10:wrap type="none"/>
            </v:shape>
          </w:pict>
        </mc:Fallback>
      </mc:AlternateContent>
    </w:r>
  </w:p>
</w:ftr>
</file>

<file path=word/header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rPr>
        <w:sz w:val="20"/>
      </w:rPr>
    </w:pPr>
    <w:r>
      <w:rPr/>
      <mc:AlternateContent>
        <mc:Choice Requires="wps">
          <w:drawing>
            <wp:anchor distT="0" distB="0" distL="0" distR="0" allowOverlap="1" layoutInCell="1" locked="0" behindDoc="1" simplePos="0" relativeHeight="487338496">
              <wp:simplePos x="0" y="0"/>
              <wp:positionH relativeFrom="page">
                <wp:posOffset>970584</wp:posOffset>
              </wp:positionH>
              <wp:positionV relativeFrom="page">
                <wp:posOffset>444950</wp:posOffset>
              </wp:positionV>
              <wp:extent cx="5380355" cy="255904"/>
              <wp:effectExtent l="0" t="0" r="0" b="0"/>
              <wp:wrapNone/>
              <wp:docPr id="1" name="Textbox 1"/>
              <wp:cNvGraphicFramePr>
                <a:graphicFrameLocks/>
              </wp:cNvGraphicFramePr>
              <a:graphic>
                <a:graphicData uri="http://schemas.microsoft.com/office/word/2010/wordprocessingShape">
                  <wps:wsp>
                    <wps:cNvPr id="1" name="Textbox 1"/>
                    <wps:cNvSpPr txBox="1"/>
                    <wps:spPr>
                      <a:xfrm>
                        <a:off x="0" y="0"/>
                        <a:ext cx="5380355" cy="255904"/>
                      </a:xfrm>
                      <a:prstGeom prst="rect">
                        <a:avLst/>
                      </a:prstGeom>
                    </wps:spPr>
                    <wps:txbx>
                      <w:txbxContent>
                        <w:p>
                          <w:pPr>
                            <w:spacing w:before="14"/>
                            <w:ind w:left="20" w:right="18" w:firstLine="0"/>
                            <w:jc w:val="left"/>
                            <w:rPr>
                              <w:i/>
                              <w:sz w:val="16"/>
                            </w:rPr>
                          </w:pPr>
                          <w:r>
                            <w:rPr>
                              <w:i/>
                              <w:sz w:val="16"/>
                            </w:rPr>
                            <w:t>Tisnado,</w:t>
                          </w:r>
                          <w:r>
                            <w:rPr>
                              <w:i/>
                              <w:spacing w:val="-3"/>
                              <w:sz w:val="16"/>
                            </w:rPr>
                            <w:t> </w:t>
                          </w:r>
                          <w:r>
                            <w:rPr>
                              <w:i/>
                              <w:sz w:val="16"/>
                            </w:rPr>
                            <w:t>D.M.,</w:t>
                          </w:r>
                          <w:r>
                            <w:rPr>
                              <w:i/>
                              <w:spacing w:val="-3"/>
                              <w:sz w:val="16"/>
                            </w:rPr>
                            <w:t> </w:t>
                          </w:r>
                          <w:r>
                            <w:rPr>
                              <w:i/>
                              <w:sz w:val="16"/>
                            </w:rPr>
                            <w:t>Sablan-Santos, L.,</w:t>
                          </w:r>
                          <w:r>
                            <w:rPr>
                              <w:i/>
                              <w:spacing w:val="36"/>
                              <w:sz w:val="16"/>
                            </w:rPr>
                            <w:t> </w:t>
                          </w:r>
                          <w:r>
                            <w:rPr>
                              <w:i/>
                              <w:sz w:val="16"/>
                            </w:rPr>
                            <w:t>Guevara,</w:t>
                          </w:r>
                          <w:r>
                            <w:rPr>
                              <w:i/>
                              <w:spacing w:val="-1"/>
                              <w:sz w:val="16"/>
                            </w:rPr>
                            <w:t> </w:t>
                          </w:r>
                          <w:r>
                            <w:rPr>
                              <w:i/>
                              <w:sz w:val="16"/>
                            </w:rPr>
                            <w:t>L.</w:t>
                          </w:r>
                          <w:r>
                            <w:rPr>
                              <w:i/>
                              <w:spacing w:val="-1"/>
                              <w:sz w:val="16"/>
                            </w:rPr>
                            <w:t> </w:t>
                          </w:r>
                          <w:r>
                            <w:rPr>
                              <w:i/>
                              <w:sz w:val="16"/>
                            </w:rPr>
                            <w:t>Quitugua,L.,</w:t>
                          </w:r>
                          <w:r>
                            <w:rPr>
                              <w:i/>
                              <w:spacing w:val="-3"/>
                              <w:sz w:val="16"/>
                            </w:rPr>
                            <w:t> </w:t>
                          </w:r>
                          <w:r>
                            <w:rPr>
                              <w:i/>
                              <w:sz w:val="16"/>
                            </w:rPr>
                            <w:t>Castro, K.,</w:t>
                          </w:r>
                          <w:r>
                            <w:rPr>
                              <w:i/>
                              <w:spacing w:val="-3"/>
                              <w:sz w:val="16"/>
                            </w:rPr>
                            <w:t> </w:t>
                          </w:r>
                          <w:r>
                            <w:rPr>
                              <w:i/>
                              <w:sz w:val="16"/>
                            </w:rPr>
                            <w:t>Aromin,</w:t>
                          </w:r>
                          <w:r>
                            <w:rPr>
                              <w:i/>
                              <w:spacing w:val="-3"/>
                              <w:sz w:val="16"/>
                            </w:rPr>
                            <w:t> </w:t>
                          </w:r>
                          <w:r>
                            <w:rPr>
                              <w:i/>
                              <w:sz w:val="16"/>
                            </w:rPr>
                            <w:t>J.,</w:t>
                          </w:r>
                          <w:r>
                            <w:rPr>
                              <w:i/>
                              <w:spacing w:val="-1"/>
                              <w:sz w:val="16"/>
                            </w:rPr>
                            <w:t> </w:t>
                          </w:r>
                          <w:r>
                            <w:rPr>
                              <w:i/>
                              <w:sz w:val="16"/>
                            </w:rPr>
                            <w:t>Quenga,</w:t>
                          </w:r>
                          <w:r>
                            <w:rPr>
                              <w:i/>
                              <w:spacing w:val="-4"/>
                              <w:sz w:val="16"/>
                            </w:rPr>
                            <w:t> </w:t>
                          </w:r>
                          <w:r>
                            <w:rPr>
                              <w:i/>
                              <w:sz w:val="16"/>
                            </w:rPr>
                            <w:t>J.,</w:t>
                          </w:r>
                          <w:r>
                            <w:rPr>
                              <w:i/>
                              <w:spacing w:val="-1"/>
                              <w:sz w:val="16"/>
                            </w:rPr>
                            <w:t> </w:t>
                          </w:r>
                          <w:r>
                            <w:rPr>
                              <w:i/>
                              <w:sz w:val="16"/>
                            </w:rPr>
                            <w:t>&amp;</w:t>
                          </w:r>
                          <w:r>
                            <w:rPr>
                              <w:i/>
                              <w:spacing w:val="-6"/>
                              <w:sz w:val="16"/>
                            </w:rPr>
                            <w:t> </w:t>
                          </w:r>
                          <w:r>
                            <w:rPr>
                              <w:i/>
                              <w:sz w:val="16"/>
                            </w:rPr>
                            <w:t>Tran,</w:t>
                          </w:r>
                          <w:r>
                            <w:rPr>
                              <w:i/>
                              <w:spacing w:val="-4"/>
                              <w:sz w:val="16"/>
                            </w:rPr>
                            <w:t> </w:t>
                          </w:r>
                          <w:r>
                            <w:rPr>
                              <w:i/>
                              <w:sz w:val="16"/>
                            </w:rPr>
                            <w:t>J.</w:t>
                          </w:r>
                          <w:r>
                            <w:rPr>
                              <w:i/>
                              <w:spacing w:val="-3"/>
                              <w:sz w:val="16"/>
                            </w:rPr>
                            <w:t> </w:t>
                          </w:r>
                          <w:r>
                            <w:rPr>
                              <w:i/>
                              <w:sz w:val="16"/>
                            </w:rPr>
                            <w:t>/</w:t>
                          </w:r>
                          <w:r>
                            <w:rPr>
                              <w:i/>
                              <w:spacing w:val="-3"/>
                              <w:sz w:val="16"/>
                            </w:rPr>
                            <w:t> </w:t>
                          </w:r>
                          <w:r>
                            <w:rPr>
                              <w:i/>
                              <w:sz w:val="16"/>
                            </w:rPr>
                            <w:t>Californian</w:t>
                          </w:r>
                          <w:r>
                            <w:rPr>
                              <w:i/>
                              <w:spacing w:val="-3"/>
                              <w:sz w:val="16"/>
                            </w:rPr>
                            <w:t> </w:t>
                          </w:r>
                          <w:r>
                            <w:rPr>
                              <w:i/>
                              <w:sz w:val="16"/>
                            </w:rPr>
                            <w:t>Journal</w:t>
                          </w:r>
                          <w:r>
                            <w:rPr>
                              <w:i/>
                              <w:spacing w:val="-3"/>
                              <w:sz w:val="16"/>
                            </w:rPr>
                            <w:t> </w:t>
                          </w:r>
                          <w:r>
                            <w:rPr>
                              <w:i/>
                              <w:sz w:val="16"/>
                            </w:rPr>
                            <w:t>of</w:t>
                          </w:r>
                          <w:r>
                            <w:rPr>
                              <w:i/>
                              <w:spacing w:val="40"/>
                              <w:sz w:val="16"/>
                            </w:rPr>
                            <w:t> </w:t>
                          </w:r>
                          <w:r>
                            <w:rPr>
                              <w:i/>
                              <w:sz w:val="16"/>
                            </w:rPr>
                            <w:t>Health Promotion 2010, Special Issue (Cancer Control), 39-51</w:t>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76.424004pt;margin-top:35.035450pt;width:423.65pt;height:20.150pt;mso-position-horizontal-relative:page;mso-position-vertical-relative:page;z-index:-15977984" type="#_x0000_t202" id="docshape1" filled="false" stroked="false">
              <v:textbox inset="0,0,0,0">
                <w:txbxContent>
                  <w:p>
                    <w:pPr>
                      <w:spacing w:before="14"/>
                      <w:ind w:left="20" w:right="18" w:firstLine="0"/>
                      <w:jc w:val="left"/>
                      <w:rPr>
                        <w:i/>
                        <w:sz w:val="16"/>
                      </w:rPr>
                    </w:pPr>
                    <w:r>
                      <w:rPr>
                        <w:i/>
                        <w:sz w:val="16"/>
                      </w:rPr>
                      <w:t>Tisnado,</w:t>
                    </w:r>
                    <w:r>
                      <w:rPr>
                        <w:i/>
                        <w:spacing w:val="-3"/>
                        <w:sz w:val="16"/>
                      </w:rPr>
                      <w:t> </w:t>
                    </w:r>
                    <w:r>
                      <w:rPr>
                        <w:i/>
                        <w:sz w:val="16"/>
                      </w:rPr>
                      <w:t>D.M.,</w:t>
                    </w:r>
                    <w:r>
                      <w:rPr>
                        <w:i/>
                        <w:spacing w:val="-3"/>
                        <w:sz w:val="16"/>
                      </w:rPr>
                      <w:t> </w:t>
                    </w:r>
                    <w:r>
                      <w:rPr>
                        <w:i/>
                        <w:sz w:val="16"/>
                      </w:rPr>
                      <w:t>Sablan-Santos, L.,</w:t>
                    </w:r>
                    <w:r>
                      <w:rPr>
                        <w:i/>
                        <w:spacing w:val="36"/>
                        <w:sz w:val="16"/>
                      </w:rPr>
                      <w:t> </w:t>
                    </w:r>
                    <w:r>
                      <w:rPr>
                        <w:i/>
                        <w:sz w:val="16"/>
                      </w:rPr>
                      <w:t>Guevara,</w:t>
                    </w:r>
                    <w:r>
                      <w:rPr>
                        <w:i/>
                        <w:spacing w:val="-1"/>
                        <w:sz w:val="16"/>
                      </w:rPr>
                      <w:t> </w:t>
                    </w:r>
                    <w:r>
                      <w:rPr>
                        <w:i/>
                        <w:sz w:val="16"/>
                      </w:rPr>
                      <w:t>L.</w:t>
                    </w:r>
                    <w:r>
                      <w:rPr>
                        <w:i/>
                        <w:spacing w:val="-1"/>
                        <w:sz w:val="16"/>
                      </w:rPr>
                      <w:t> </w:t>
                    </w:r>
                    <w:r>
                      <w:rPr>
                        <w:i/>
                        <w:sz w:val="16"/>
                      </w:rPr>
                      <w:t>Quitugua,L.,</w:t>
                    </w:r>
                    <w:r>
                      <w:rPr>
                        <w:i/>
                        <w:spacing w:val="-3"/>
                        <w:sz w:val="16"/>
                      </w:rPr>
                      <w:t> </w:t>
                    </w:r>
                    <w:r>
                      <w:rPr>
                        <w:i/>
                        <w:sz w:val="16"/>
                      </w:rPr>
                      <w:t>Castro, K.,</w:t>
                    </w:r>
                    <w:r>
                      <w:rPr>
                        <w:i/>
                        <w:spacing w:val="-3"/>
                        <w:sz w:val="16"/>
                      </w:rPr>
                      <w:t> </w:t>
                    </w:r>
                    <w:r>
                      <w:rPr>
                        <w:i/>
                        <w:sz w:val="16"/>
                      </w:rPr>
                      <w:t>Aromin,</w:t>
                    </w:r>
                    <w:r>
                      <w:rPr>
                        <w:i/>
                        <w:spacing w:val="-3"/>
                        <w:sz w:val="16"/>
                      </w:rPr>
                      <w:t> </w:t>
                    </w:r>
                    <w:r>
                      <w:rPr>
                        <w:i/>
                        <w:sz w:val="16"/>
                      </w:rPr>
                      <w:t>J.,</w:t>
                    </w:r>
                    <w:r>
                      <w:rPr>
                        <w:i/>
                        <w:spacing w:val="-1"/>
                        <w:sz w:val="16"/>
                      </w:rPr>
                      <w:t> </w:t>
                    </w:r>
                    <w:r>
                      <w:rPr>
                        <w:i/>
                        <w:sz w:val="16"/>
                      </w:rPr>
                      <w:t>Quenga,</w:t>
                    </w:r>
                    <w:r>
                      <w:rPr>
                        <w:i/>
                        <w:spacing w:val="-4"/>
                        <w:sz w:val="16"/>
                      </w:rPr>
                      <w:t> </w:t>
                    </w:r>
                    <w:r>
                      <w:rPr>
                        <w:i/>
                        <w:sz w:val="16"/>
                      </w:rPr>
                      <w:t>J.,</w:t>
                    </w:r>
                    <w:r>
                      <w:rPr>
                        <w:i/>
                        <w:spacing w:val="-1"/>
                        <w:sz w:val="16"/>
                      </w:rPr>
                      <w:t> </w:t>
                    </w:r>
                    <w:r>
                      <w:rPr>
                        <w:i/>
                        <w:sz w:val="16"/>
                      </w:rPr>
                      <w:t>&amp;</w:t>
                    </w:r>
                    <w:r>
                      <w:rPr>
                        <w:i/>
                        <w:spacing w:val="-6"/>
                        <w:sz w:val="16"/>
                      </w:rPr>
                      <w:t> </w:t>
                    </w:r>
                    <w:r>
                      <w:rPr>
                        <w:i/>
                        <w:sz w:val="16"/>
                      </w:rPr>
                      <w:t>Tran,</w:t>
                    </w:r>
                    <w:r>
                      <w:rPr>
                        <w:i/>
                        <w:spacing w:val="-4"/>
                        <w:sz w:val="16"/>
                      </w:rPr>
                      <w:t> </w:t>
                    </w:r>
                    <w:r>
                      <w:rPr>
                        <w:i/>
                        <w:sz w:val="16"/>
                      </w:rPr>
                      <w:t>J.</w:t>
                    </w:r>
                    <w:r>
                      <w:rPr>
                        <w:i/>
                        <w:spacing w:val="-3"/>
                        <w:sz w:val="16"/>
                      </w:rPr>
                      <w:t> </w:t>
                    </w:r>
                    <w:r>
                      <w:rPr>
                        <w:i/>
                        <w:sz w:val="16"/>
                      </w:rPr>
                      <w:t>/</w:t>
                    </w:r>
                    <w:r>
                      <w:rPr>
                        <w:i/>
                        <w:spacing w:val="-3"/>
                        <w:sz w:val="16"/>
                      </w:rPr>
                      <w:t> </w:t>
                    </w:r>
                    <w:r>
                      <w:rPr>
                        <w:i/>
                        <w:sz w:val="16"/>
                      </w:rPr>
                      <w:t>Californian</w:t>
                    </w:r>
                    <w:r>
                      <w:rPr>
                        <w:i/>
                        <w:spacing w:val="-3"/>
                        <w:sz w:val="16"/>
                      </w:rPr>
                      <w:t> </w:t>
                    </w:r>
                    <w:r>
                      <w:rPr>
                        <w:i/>
                        <w:sz w:val="16"/>
                      </w:rPr>
                      <w:t>Journal</w:t>
                    </w:r>
                    <w:r>
                      <w:rPr>
                        <w:i/>
                        <w:spacing w:val="-3"/>
                        <w:sz w:val="16"/>
                      </w:rPr>
                      <w:t> </w:t>
                    </w:r>
                    <w:r>
                      <w:rPr>
                        <w:i/>
                        <w:sz w:val="16"/>
                      </w:rPr>
                      <w:t>of</w:t>
                    </w:r>
                    <w:r>
                      <w:rPr>
                        <w:i/>
                        <w:spacing w:val="40"/>
                        <w:sz w:val="16"/>
                      </w:rPr>
                      <w:t> </w:t>
                    </w:r>
                    <w:r>
                      <w:rPr>
                        <w:i/>
                        <w:sz w:val="16"/>
                      </w:rPr>
                      <w:t>Health Promotion 2010, Special Issue (Cancer Control), 39-51</w:t>
                    </w:r>
                  </w:p>
                </w:txbxContent>
              </v:textbox>
              <w10:wrap type="none"/>
            </v:shape>
          </w:pict>
        </mc:Fallback>
      </mc:AlternateConten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en-US" w:eastAsia="en-US" w:bidi="ar-SA"/>
    </w:rPr>
  </w:style>
  <w:style w:styleId="BodyText" w:type="paragraph">
    <w:name w:val="Body Text"/>
    <w:basedOn w:val="Normal"/>
    <w:uiPriority w:val="1"/>
    <w:qFormat/>
    <w:pPr>
      <w:ind w:left="120"/>
    </w:pPr>
    <w:rPr>
      <w:rFonts w:ascii="Times New Roman" w:hAnsi="Times New Roman" w:eastAsia="Times New Roman" w:cs="Times New Roman"/>
      <w:sz w:val="22"/>
      <w:szCs w:val="22"/>
      <w:lang w:val="en-US" w:eastAsia="en-US" w:bidi="ar-SA"/>
    </w:rPr>
  </w:style>
  <w:style w:styleId="Heading1" w:type="paragraph">
    <w:name w:val="Heading 1"/>
    <w:basedOn w:val="Normal"/>
    <w:uiPriority w:val="1"/>
    <w:qFormat/>
    <w:pPr>
      <w:ind w:left="120"/>
      <w:jc w:val="both"/>
      <w:outlineLvl w:val="1"/>
    </w:pPr>
    <w:rPr>
      <w:rFonts w:ascii="Times New Roman" w:hAnsi="Times New Roman" w:eastAsia="Times New Roman" w:cs="Times New Roman"/>
      <w:b/>
      <w:bCs/>
      <w:sz w:val="22"/>
      <w:szCs w:val="22"/>
      <w:lang w:val="en-US" w:eastAsia="en-US" w:bidi="ar-SA"/>
    </w:rPr>
  </w:style>
  <w:style w:styleId="Title" w:type="paragraph">
    <w:name w:val="Title"/>
    <w:basedOn w:val="Normal"/>
    <w:uiPriority w:val="1"/>
    <w:qFormat/>
    <w:pPr>
      <w:spacing w:before="1"/>
      <w:ind w:left="708" w:right="713"/>
      <w:jc w:val="center"/>
    </w:pPr>
    <w:rPr>
      <w:rFonts w:ascii="Times New Roman" w:hAnsi="Times New Roman" w:eastAsia="Times New Roman" w:cs="Times New Roman"/>
      <w:sz w:val="28"/>
      <w:szCs w:val="28"/>
      <w:lang w:val="en-US" w:eastAsia="en-US" w:bidi="ar-SA"/>
    </w:rPr>
  </w:style>
  <w:style w:styleId="ListParagraph" w:type="paragraph">
    <w:name w:val="List Paragraph"/>
    <w:basedOn w:val="Normal"/>
    <w:uiPriority w:val="1"/>
    <w:qFormat/>
    <w:pPr/>
    <w:rPr>
      <w:lang w:val="en-US" w:eastAsia="en-US" w:bidi="ar-SA"/>
    </w:rPr>
  </w:style>
  <w:style w:styleId="TableParagraph" w:type="paragraph">
    <w:name w:val="Table Paragraph"/>
    <w:basedOn w:val="Normal"/>
    <w:uiPriority w:val="1"/>
    <w:qFormat/>
    <w:pPr>
      <w:ind w:left="122"/>
    </w:pPr>
    <w:rPr>
      <w:rFonts w:ascii="Times New Roman" w:hAnsi="Times New Roman" w:eastAsia="Times New Roman" w:cs="Times New Roman"/>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hyperlink" Target="http://depts.washington.edu/pnash/2008conference/abstracts.html" TargetMode="External"/><Relationship Id="rId8" Type="http://schemas.openxmlformats.org/officeDocument/2006/relationships/hyperlink" Target="http://www.cbprcurriculum.info/" TargetMode="External"/><Relationship Id="rId9" Type="http://schemas.openxmlformats.org/officeDocument/2006/relationships/hyperlink" Target="http://www.ncbi.nlm.nih.gov/pubmed/9611617" TargetMode="External"/><Relationship Id="rId10" Type="http://schemas.openxmlformats.org/officeDocument/2006/relationships/hyperlink" Target="http://www.ncbi.nlm.nih.gov/pubmed/17139552" TargetMode="External"/><Relationship Id="rId11" Type="http://schemas.openxmlformats.org/officeDocument/2006/relationships/hyperlink" Target="http://www.ncbi.nlm.nih.gov/pubmed/18470906" TargetMode="External"/><Relationship Id="rId12" Type="http://schemas.openxmlformats.org/officeDocument/2006/relationships/hyperlink" Target="mailto:dtisnado@mednet.ucla.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DM Tisnado, L Sablan-Santos, L Guevara, L Quitugua, K Castro, J Aromin, J Quenga &amp; J Tran</dc:creator>
  <cp:keywords>Community-Based, Participatory Research, Community-Engaged Research, Pacific Islander, Patient Navigation</cp:keywords>
  <dc:subject>Californian Journal of Health Promotion 2010 Volume 1 Special Issue (Cancer Prevention)</dc:subject>
  <dc:title>A Case Study in Chamorro Community and Academic Engagement for a Community-Partnered Research Approach</dc:title>
  <dcterms:created xsi:type="dcterms:W3CDTF">2026-10-05T15:53:01Z</dcterms:created>
  <dcterms:modified xsi:type="dcterms:W3CDTF">2026-10-05T15:53:01Z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2011-01-11T00:00:00Z</vt:filetime>
  </property>
  <property fmtid="{D5CDD505-2E9C-101B-9397-08002B2CF9AE}" pid="3" name="Creator">
    <vt:lpwstr>Microsoft® Office Word 2007</vt:lpwstr>
  </property>
  <property fmtid="{D5CDD505-2E9C-101B-9397-08002B2CF9AE}" pid="4" name="LastSaved">
    <vt:filetime>2026-10-05T00:00:00Z</vt:filetime>
  </property>
  <property fmtid="{D5CDD505-2E9C-101B-9397-08002B2CF9AE}" pid="5" name="Producer">
    <vt:lpwstr>Microsoft® Office Word 2007</vt:lpwstr>
  </property>
</Properties>
</file>