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7"/>
        <w:ind w:left="0"/>
        <w:rPr>
          <w:sz w:val="28"/>
        </w:rPr>
      </w:pPr>
    </w:p>
    <w:p>
      <w:pPr>
        <w:pStyle w:val="Title"/>
      </w:pPr>
      <w:r>
        <w:rPr/>
        <w:t>Predictors</w:t>
      </w:r>
      <w:r>
        <w:rPr>
          <w:spacing w:val="-4"/>
        </w:rPr>
        <w:t> </w:t>
      </w:r>
      <w:r>
        <w:rPr/>
        <w:t>of</w:t>
      </w:r>
      <w:r>
        <w:rPr>
          <w:spacing w:val="-5"/>
        </w:rPr>
        <w:t> </w:t>
      </w:r>
      <w:r>
        <w:rPr/>
        <w:t>Women’s</w:t>
      </w:r>
      <w:r>
        <w:rPr>
          <w:spacing w:val="-4"/>
        </w:rPr>
        <w:t> </w:t>
      </w:r>
      <w:r>
        <w:rPr/>
        <w:t>Emergency</w:t>
      </w:r>
      <w:r>
        <w:rPr>
          <w:spacing w:val="-8"/>
        </w:rPr>
        <w:t> </w:t>
      </w:r>
      <w:r>
        <w:rPr/>
        <w:t>Contraception</w:t>
      </w:r>
      <w:r>
        <w:rPr>
          <w:spacing w:val="-4"/>
        </w:rPr>
        <w:t> </w:t>
      </w:r>
      <w:r>
        <w:rPr/>
        <w:t>Use</w:t>
      </w:r>
      <w:r>
        <w:rPr>
          <w:spacing w:val="-5"/>
        </w:rPr>
        <w:t> </w:t>
      </w:r>
      <w:r>
        <w:rPr/>
        <w:t>and</w:t>
      </w:r>
      <w:r>
        <w:rPr>
          <w:spacing w:val="-4"/>
        </w:rPr>
        <w:t> </w:t>
      </w:r>
      <w:r>
        <w:rPr/>
        <w:t>Men’s</w:t>
      </w:r>
      <w:r>
        <w:rPr>
          <w:spacing w:val="-4"/>
        </w:rPr>
        <w:t> </w:t>
      </w:r>
      <w:r>
        <w:rPr/>
        <w:t>Support</w:t>
      </w:r>
      <w:r>
        <w:rPr>
          <w:spacing w:val="-6"/>
        </w:rPr>
        <w:t> </w:t>
      </w:r>
      <w:r>
        <w:rPr/>
        <w:t>of Partner’s Use among College Students</w:t>
      </w:r>
    </w:p>
    <w:p>
      <w:pPr>
        <w:pStyle w:val="BodyText"/>
        <w:spacing w:before="183"/>
        <w:ind w:left="0"/>
        <w:rPr>
          <w:sz w:val="28"/>
        </w:rPr>
      </w:pPr>
    </w:p>
    <w:p>
      <w:pPr>
        <w:spacing w:before="0"/>
        <w:ind w:left="25" w:right="26" w:firstLine="0"/>
        <w:jc w:val="center"/>
        <w:rPr>
          <w:sz w:val="24"/>
        </w:rPr>
      </w:pPr>
      <w:r>
        <w:rPr>
          <w:sz w:val="24"/>
        </w:rPr>
        <w:t>Veronica</w:t>
      </w:r>
      <w:r>
        <w:rPr>
          <w:spacing w:val="-1"/>
          <w:sz w:val="24"/>
        </w:rPr>
        <w:t> </w:t>
      </w:r>
      <w:r>
        <w:rPr>
          <w:sz w:val="24"/>
        </w:rPr>
        <w:t>Fitzpatrick,</w:t>
      </w:r>
      <w:r>
        <w:rPr>
          <w:spacing w:val="-2"/>
          <w:sz w:val="24"/>
        </w:rPr>
        <w:t> </w:t>
      </w:r>
      <w:r>
        <w:rPr>
          <w:sz w:val="24"/>
        </w:rPr>
        <w:t>Michele</w:t>
      </w:r>
      <w:r>
        <w:rPr>
          <w:spacing w:val="-3"/>
          <w:sz w:val="24"/>
        </w:rPr>
        <w:t> </w:t>
      </w:r>
      <w:r>
        <w:rPr>
          <w:sz w:val="24"/>
        </w:rPr>
        <w:t>Mouttapa,</w:t>
      </w:r>
      <w:r>
        <w:rPr>
          <w:spacing w:val="-2"/>
          <w:sz w:val="24"/>
        </w:rPr>
        <w:t> </w:t>
      </w:r>
      <w:r>
        <w:rPr>
          <w:sz w:val="24"/>
        </w:rPr>
        <w:t>Sora</w:t>
      </w:r>
      <w:r>
        <w:rPr>
          <w:spacing w:val="-2"/>
          <w:sz w:val="24"/>
        </w:rPr>
        <w:t> </w:t>
      </w:r>
      <w:r>
        <w:rPr>
          <w:sz w:val="24"/>
        </w:rPr>
        <w:t>Park</w:t>
      </w:r>
      <w:r>
        <w:rPr>
          <w:spacing w:val="-2"/>
          <w:sz w:val="24"/>
        </w:rPr>
        <w:t> </w:t>
      </w:r>
      <w:r>
        <w:rPr>
          <w:sz w:val="24"/>
        </w:rPr>
        <w:t>Tanjasiri,</w:t>
      </w:r>
      <w:r>
        <w:rPr>
          <w:spacing w:val="-2"/>
          <w:sz w:val="24"/>
        </w:rPr>
        <w:t> </w:t>
      </w:r>
      <w:r>
        <w:rPr>
          <w:sz w:val="24"/>
        </w:rPr>
        <w:t>and</w:t>
      </w:r>
      <w:r>
        <w:rPr>
          <w:spacing w:val="-2"/>
          <w:sz w:val="24"/>
        </w:rPr>
        <w:t> </w:t>
      </w:r>
      <w:r>
        <w:rPr>
          <w:sz w:val="24"/>
        </w:rPr>
        <w:t>James</w:t>
      </w:r>
      <w:r>
        <w:rPr>
          <w:spacing w:val="-1"/>
          <w:sz w:val="24"/>
        </w:rPr>
        <w:t> </w:t>
      </w:r>
      <w:r>
        <w:rPr>
          <w:spacing w:val="-2"/>
          <w:sz w:val="24"/>
        </w:rPr>
        <w:t>Napoli</w:t>
      </w:r>
    </w:p>
    <w:p>
      <w:pPr>
        <w:pStyle w:val="BodyText"/>
        <w:ind w:left="0"/>
        <w:rPr>
          <w:sz w:val="24"/>
        </w:rPr>
      </w:pPr>
    </w:p>
    <w:p>
      <w:pPr>
        <w:spacing w:before="0"/>
        <w:ind w:left="25" w:right="26" w:firstLine="0"/>
        <w:jc w:val="center"/>
        <w:rPr>
          <w:i/>
          <w:sz w:val="24"/>
        </w:rPr>
      </w:pPr>
      <w:r>
        <w:rPr>
          <w:i/>
          <w:sz w:val="24"/>
        </w:rPr>
        <w:t>Department</w:t>
      </w:r>
      <w:r>
        <w:rPr>
          <w:i/>
          <w:spacing w:val="-4"/>
          <w:sz w:val="24"/>
        </w:rPr>
        <w:t> </w:t>
      </w:r>
      <w:r>
        <w:rPr>
          <w:i/>
          <w:sz w:val="24"/>
        </w:rPr>
        <w:t>of</w:t>
      </w:r>
      <w:r>
        <w:rPr>
          <w:i/>
          <w:spacing w:val="-2"/>
          <w:sz w:val="24"/>
        </w:rPr>
        <w:t> </w:t>
      </w:r>
      <w:r>
        <w:rPr>
          <w:i/>
          <w:sz w:val="24"/>
        </w:rPr>
        <w:t>Health</w:t>
      </w:r>
      <w:r>
        <w:rPr>
          <w:i/>
          <w:spacing w:val="-2"/>
          <w:sz w:val="24"/>
        </w:rPr>
        <w:t> </w:t>
      </w:r>
      <w:r>
        <w:rPr>
          <w:i/>
          <w:sz w:val="24"/>
        </w:rPr>
        <w:t>Science,</w:t>
      </w:r>
      <w:r>
        <w:rPr>
          <w:i/>
          <w:spacing w:val="-1"/>
          <w:sz w:val="24"/>
        </w:rPr>
        <w:t> </w:t>
      </w:r>
      <w:r>
        <w:rPr>
          <w:i/>
          <w:sz w:val="24"/>
        </w:rPr>
        <w:t>California</w:t>
      </w:r>
      <w:r>
        <w:rPr>
          <w:i/>
          <w:spacing w:val="-2"/>
          <w:sz w:val="24"/>
        </w:rPr>
        <w:t> </w:t>
      </w:r>
      <w:r>
        <w:rPr>
          <w:i/>
          <w:sz w:val="24"/>
        </w:rPr>
        <w:t>State</w:t>
      </w:r>
      <w:r>
        <w:rPr>
          <w:i/>
          <w:spacing w:val="-3"/>
          <w:sz w:val="24"/>
        </w:rPr>
        <w:t> </w:t>
      </w:r>
      <w:r>
        <w:rPr>
          <w:i/>
          <w:sz w:val="24"/>
        </w:rPr>
        <w:t>University,</w:t>
      </w:r>
      <w:r>
        <w:rPr>
          <w:i/>
          <w:spacing w:val="-1"/>
          <w:sz w:val="24"/>
        </w:rPr>
        <w:t> </w:t>
      </w:r>
      <w:r>
        <w:rPr>
          <w:i/>
          <w:spacing w:val="-2"/>
          <w:sz w:val="24"/>
        </w:rPr>
        <w:t>Fullerton</w:t>
      </w:r>
    </w:p>
    <w:p>
      <w:pPr>
        <w:spacing w:before="259"/>
        <w:ind w:left="25" w:right="25" w:firstLine="0"/>
        <w:jc w:val="center"/>
        <w:rPr>
          <w:b/>
          <w:sz w:val="24"/>
        </w:rPr>
      </w:pPr>
      <w:bookmarkStart w:name="Abstract" w:id="1"/>
      <w:bookmarkEnd w:id="1"/>
      <w:r>
        <w:rPr/>
      </w:r>
      <w:r>
        <w:rPr>
          <w:b/>
          <w:spacing w:val="-2"/>
          <w:sz w:val="24"/>
        </w:rPr>
        <w:t>Abstract</w:t>
      </w:r>
    </w:p>
    <w:p>
      <w:pPr>
        <w:pStyle w:val="BodyText"/>
        <w:spacing w:before="134"/>
        <w:ind w:right="114"/>
        <w:jc w:val="both"/>
      </w:pPr>
      <w:r>
        <w:rPr>
          <w:b/>
        </w:rPr>
        <w:t>Background: </w:t>
      </w:r>
      <w:r>
        <w:rPr/>
        <w:t>The unintended pregnancy rate in the United States is high, and emergency contraception (EC) is a birth control method that prevents unintended pregnancies. Despite the fact that many college campuses provide access to EC, undergraduate college students have relatively high rates of unintended pregnancies. </w:t>
      </w:r>
      <w:r>
        <w:rPr>
          <w:b/>
        </w:rPr>
        <w:t>Purpose: </w:t>
      </w:r>
      <w:r>
        <w:rPr/>
        <w:t>This study examined whether perceptions and knowledge regarding EC use were associated with women’s intentions to use EC, and men’s intentions to support</w:t>
      </w:r>
      <w:r>
        <w:rPr>
          <w:spacing w:val="40"/>
        </w:rPr>
        <w:t> </w:t>
      </w:r>
      <w:r>
        <w:rPr/>
        <w:t>their partner’s EC use. </w:t>
      </w:r>
      <w:r>
        <w:rPr>
          <w:b/>
        </w:rPr>
        <w:t>Methods: </w:t>
      </w:r>
      <w:r>
        <w:rPr/>
        <w:t>This study utilized a convenience sample of 96 female and 118 male southern California community college undergraduate students. </w:t>
      </w:r>
      <w:r>
        <w:rPr>
          <w:b/>
        </w:rPr>
        <w:t>Results: </w:t>
      </w:r>
      <w:r>
        <w:rPr/>
        <w:t>Women had stronger intentions to use EC if they thought they could successfully obtain it at a pharmacy, while men reported they were more likely to support a partner’s use if they thought that EC use is morally acceptable.</w:t>
      </w:r>
      <w:r>
        <w:rPr>
          <w:spacing w:val="-2"/>
        </w:rPr>
        <w:t> </w:t>
      </w:r>
      <w:r>
        <w:rPr>
          <w:b/>
        </w:rPr>
        <w:t>Conclusions: </w:t>
      </w:r>
      <w:r>
        <w:rPr/>
        <w:t>The findings suggest</w:t>
      </w:r>
      <w:r>
        <w:rPr>
          <w:spacing w:val="-1"/>
        </w:rPr>
        <w:t> </w:t>
      </w:r>
      <w:r>
        <w:rPr/>
        <w:t>that</w:t>
      </w:r>
      <w:r>
        <w:rPr>
          <w:spacing w:val="-1"/>
        </w:rPr>
        <w:t> </w:t>
      </w:r>
      <w:r>
        <w:rPr/>
        <w:t>increasing</w:t>
      </w:r>
      <w:r>
        <w:rPr>
          <w:spacing w:val="-5"/>
        </w:rPr>
        <w:t> </w:t>
      </w:r>
      <w:r>
        <w:rPr/>
        <w:t>women’s</w:t>
      </w:r>
      <w:r>
        <w:rPr>
          <w:spacing w:val="-2"/>
        </w:rPr>
        <w:t> </w:t>
      </w:r>
      <w:r>
        <w:rPr/>
        <w:t>knowledge</w:t>
      </w:r>
      <w:r>
        <w:rPr>
          <w:spacing w:val="-2"/>
        </w:rPr>
        <w:t> </w:t>
      </w:r>
      <w:r>
        <w:rPr/>
        <w:t>about</w:t>
      </w:r>
      <w:r>
        <w:rPr>
          <w:spacing w:val="-4"/>
        </w:rPr>
        <w:t> </w:t>
      </w:r>
      <w:r>
        <w:rPr/>
        <w:t>the</w:t>
      </w:r>
      <w:r>
        <w:rPr>
          <w:spacing w:val="-4"/>
        </w:rPr>
        <w:t> </w:t>
      </w:r>
      <w:r>
        <w:rPr/>
        <w:t>accessibility</w:t>
      </w:r>
      <w:r>
        <w:rPr>
          <w:spacing w:val="-5"/>
        </w:rPr>
        <w:t> </w:t>
      </w:r>
      <w:r>
        <w:rPr/>
        <w:t>of</w:t>
      </w:r>
      <w:r>
        <w:rPr>
          <w:spacing w:val="-1"/>
        </w:rPr>
        <w:t> </w:t>
      </w:r>
      <w:r>
        <w:rPr/>
        <w:t>EC</w:t>
      </w:r>
      <w:r>
        <w:rPr>
          <w:spacing w:val="-3"/>
        </w:rPr>
        <w:t> </w:t>
      </w:r>
      <w:r>
        <w:rPr/>
        <w:t>may</w:t>
      </w:r>
      <w:r>
        <w:rPr>
          <w:spacing w:val="-5"/>
        </w:rPr>
        <w:t> </w:t>
      </w:r>
      <w:r>
        <w:rPr/>
        <w:t>lead</w:t>
      </w:r>
      <w:r>
        <w:rPr>
          <w:spacing w:val="-2"/>
        </w:rPr>
        <w:t> </w:t>
      </w:r>
      <w:r>
        <w:rPr/>
        <w:t>to</w:t>
      </w:r>
      <w:r>
        <w:rPr>
          <w:spacing w:val="-5"/>
        </w:rPr>
        <w:t> </w:t>
      </w:r>
      <w:r>
        <w:rPr/>
        <w:t>increased</w:t>
      </w:r>
      <w:r>
        <w:rPr>
          <w:spacing w:val="-2"/>
        </w:rPr>
        <w:t> </w:t>
      </w:r>
      <w:r>
        <w:rPr/>
        <w:t>use</w:t>
      </w:r>
      <w:r>
        <w:rPr>
          <w:spacing w:val="-2"/>
        </w:rPr>
        <w:t> </w:t>
      </w:r>
      <w:r>
        <w:rPr/>
        <w:t>of</w:t>
      </w:r>
      <w:r>
        <w:rPr>
          <w:spacing w:val="-1"/>
        </w:rPr>
        <w:t> </w:t>
      </w:r>
      <w:r>
        <w:rPr/>
        <w:t>EC if needed. Men’s moral stance regarding EC use may impact the degree to which they will support their female partners using EC. Further implications are discussed.</w:t>
      </w:r>
    </w:p>
    <w:p>
      <w:pPr>
        <w:spacing w:before="252"/>
        <w:ind w:left="120" w:right="0" w:firstLine="0"/>
        <w:jc w:val="both"/>
        <w:rPr>
          <w:sz w:val="20"/>
        </w:rPr>
      </w:pPr>
      <w:r>
        <w:rPr>
          <w:sz w:val="20"/>
        </w:rPr>
        <w:t>©</w:t>
      </w:r>
      <w:r>
        <w:rPr>
          <w:spacing w:val="-6"/>
          <w:sz w:val="20"/>
        </w:rPr>
        <w:t> </w:t>
      </w:r>
      <w:r>
        <w:rPr>
          <w:sz w:val="20"/>
        </w:rPr>
        <w:t>2014</w:t>
      </w:r>
      <w:r>
        <w:rPr>
          <w:spacing w:val="-5"/>
          <w:sz w:val="20"/>
        </w:rPr>
        <w:t> </w:t>
      </w:r>
      <w:r>
        <w:rPr>
          <w:sz w:val="20"/>
        </w:rPr>
        <w:t>Californian</w:t>
      </w:r>
      <w:r>
        <w:rPr>
          <w:spacing w:val="-7"/>
          <w:sz w:val="20"/>
        </w:rPr>
        <w:t> </w:t>
      </w:r>
      <w:r>
        <w:rPr>
          <w:sz w:val="20"/>
        </w:rPr>
        <w:t>Journal</w:t>
      </w:r>
      <w:r>
        <w:rPr>
          <w:spacing w:val="-6"/>
          <w:sz w:val="20"/>
        </w:rPr>
        <w:t> </w:t>
      </w:r>
      <w:r>
        <w:rPr>
          <w:sz w:val="20"/>
        </w:rPr>
        <w:t>of</w:t>
      </w:r>
      <w:r>
        <w:rPr>
          <w:spacing w:val="-5"/>
          <w:sz w:val="20"/>
        </w:rPr>
        <w:t> </w:t>
      </w:r>
      <w:r>
        <w:rPr>
          <w:sz w:val="20"/>
        </w:rPr>
        <w:t>Health</w:t>
      </w:r>
      <w:r>
        <w:rPr>
          <w:spacing w:val="-6"/>
          <w:sz w:val="20"/>
        </w:rPr>
        <w:t> </w:t>
      </w:r>
      <w:r>
        <w:rPr>
          <w:sz w:val="20"/>
        </w:rPr>
        <w:t>Promotion.</w:t>
      </w:r>
      <w:r>
        <w:rPr>
          <w:spacing w:val="-4"/>
          <w:sz w:val="20"/>
        </w:rPr>
        <w:t> </w:t>
      </w:r>
      <w:r>
        <w:rPr>
          <w:sz w:val="20"/>
        </w:rPr>
        <w:t>All</w:t>
      </w:r>
      <w:r>
        <w:rPr>
          <w:spacing w:val="-5"/>
          <w:sz w:val="20"/>
        </w:rPr>
        <w:t> </w:t>
      </w:r>
      <w:r>
        <w:rPr>
          <w:sz w:val="20"/>
        </w:rPr>
        <w:t>rights</w:t>
      </w:r>
      <w:r>
        <w:rPr>
          <w:spacing w:val="-7"/>
          <w:sz w:val="20"/>
        </w:rPr>
        <w:t> </w:t>
      </w:r>
      <w:r>
        <w:rPr>
          <w:spacing w:val="-2"/>
          <w:sz w:val="20"/>
        </w:rPr>
        <w:t>reserved.</w:t>
      </w:r>
    </w:p>
    <w:p>
      <w:pPr>
        <w:spacing w:before="0"/>
        <w:ind w:left="119" w:right="0" w:firstLine="0"/>
        <w:jc w:val="both"/>
        <w:rPr>
          <w:i/>
          <w:sz w:val="20"/>
        </w:rPr>
      </w:pPr>
      <w:r>
        <w:rPr>
          <w:i/>
          <w:sz w:val="20"/>
        </w:rPr>
        <w:t>Keywords:</w:t>
      </w:r>
      <w:r>
        <w:rPr>
          <w:i/>
          <w:spacing w:val="-9"/>
          <w:sz w:val="20"/>
        </w:rPr>
        <w:t> </w:t>
      </w:r>
      <w:r>
        <w:rPr>
          <w:i/>
          <w:sz w:val="20"/>
        </w:rPr>
        <w:t>Emergency</w:t>
      </w:r>
      <w:r>
        <w:rPr>
          <w:i/>
          <w:spacing w:val="-10"/>
          <w:sz w:val="20"/>
        </w:rPr>
        <w:t> </w:t>
      </w:r>
      <w:r>
        <w:rPr>
          <w:i/>
          <w:sz w:val="20"/>
        </w:rPr>
        <w:t>Contraception,</w:t>
      </w:r>
      <w:r>
        <w:rPr>
          <w:i/>
          <w:spacing w:val="-9"/>
          <w:sz w:val="20"/>
        </w:rPr>
        <w:t> </w:t>
      </w:r>
      <w:r>
        <w:rPr>
          <w:i/>
          <w:sz w:val="20"/>
        </w:rPr>
        <w:t>knowledge,</w:t>
      </w:r>
      <w:r>
        <w:rPr>
          <w:i/>
          <w:spacing w:val="-9"/>
          <w:sz w:val="20"/>
        </w:rPr>
        <w:t> </w:t>
      </w:r>
      <w:r>
        <w:rPr>
          <w:i/>
          <w:sz w:val="20"/>
        </w:rPr>
        <w:t>intentions,</w:t>
      </w:r>
      <w:r>
        <w:rPr>
          <w:i/>
          <w:spacing w:val="-9"/>
          <w:sz w:val="20"/>
        </w:rPr>
        <w:t> </w:t>
      </w:r>
      <w:r>
        <w:rPr>
          <w:i/>
          <w:sz w:val="20"/>
        </w:rPr>
        <w:t>beliefs,</w:t>
      </w:r>
      <w:r>
        <w:rPr>
          <w:i/>
          <w:spacing w:val="-8"/>
          <w:sz w:val="20"/>
        </w:rPr>
        <w:t> </w:t>
      </w:r>
      <w:r>
        <w:rPr>
          <w:i/>
          <w:spacing w:val="-5"/>
          <w:sz w:val="20"/>
        </w:rPr>
        <w:t>men</w:t>
      </w:r>
    </w:p>
    <w:p>
      <w:pPr>
        <w:pStyle w:val="BodyText"/>
        <w:spacing w:before="1"/>
        <w:ind w:left="0"/>
        <w:rPr>
          <w:i/>
          <w:sz w:val="12"/>
        </w:rPr>
      </w:pPr>
    </w:p>
    <w:p>
      <w:pPr>
        <w:spacing w:after="0"/>
        <w:rPr>
          <w:sz w:val="12"/>
        </w:rPr>
        <w:sectPr>
          <w:headerReference w:type="default" r:id="rId5"/>
          <w:footerReference w:type="default" r:id="rId6"/>
          <w:type w:val="continuous"/>
          <w:pgSz w:w="12240" w:h="15840"/>
          <w:pgMar w:header="699" w:footer="794" w:top="1340" w:bottom="980" w:left="1320" w:right="1320"/>
          <w:pgNumType w:start="78"/>
        </w:sectPr>
      </w:pPr>
    </w:p>
    <w:p>
      <w:pPr>
        <w:pStyle w:val="Heading1"/>
        <w:spacing w:line="240" w:lineRule="auto" w:before="97"/>
        <w:ind w:left="78" w:right="2"/>
        <w:jc w:val="center"/>
      </w:pPr>
      <w:r>
        <w:rPr>
          <w:spacing w:val="-2"/>
        </w:rPr>
        <w:t>Introduction</w:t>
      </w:r>
    </w:p>
    <w:p>
      <w:pPr>
        <w:pStyle w:val="BodyText"/>
        <w:spacing w:before="249"/>
        <w:ind w:left="120" w:right="38"/>
        <w:jc w:val="both"/>
      </w:pPr>
      <w:r>
        <w:rPr/>
        <w:t>According to the Centers for Disease Control</w:t>
      </w:r>
      <w:r>
        <w:rPr>
          <w:spacing w:val="40"/>
        </w:rPr>
        <w:t> </w:t>
      </w:r>
      <w:r>
        <w:rPr/>
        <w:t>and Prevention (CDC, 2014), unintended pregnancies are those that were mistimed (wanted later) and/or unwanted. From 2001 to 2008, the percentage of total pregnancies that were unintended in the United States increased from</w:t>
      </w:r>
      <w:r>
        <w:rPr>
          <w:spacing w:val="-1"/>
        </w:rPr>
        <w:t> </w:t>
      </w:r>
      <w:r>
        <w:rPr/>
        <w:t>48% to 51%, which translates to additional tens of thousands of pregnancies in a given year (Finer &amp; Zolna, 2014). In 2006, women who were</w:t>
      </w:r>
      <w:r>
        <w:rPr>
          <w:spacing w:val="-1"/>
        </w:rPr>
        <w:t> </w:t>
      </w:r>
      <w:r>
        <w:rPr/>
        <w:t>of</w:t>
      </w:r>
      <w:r>
        <w:rPr>
          <w:spacing w:val="-1"/>
        </w:rPr>
        <w:t> </w:t>
      </w:r>
      <w:r>
        <w:rPr/>
        <w:t>college</w:t>
      </w:r>
      <w:r>
        <w:rPr>
          <w:spacing w:val="-1"/>
        </w:rPr>
        <w:t> </w:t>
      </w:r>
      <w:r>
        <w:rPr/>
        <w:t>age</w:t>
      </w:r>
      <w:r>
        <w:rPr>
          <w:spacing w:val="-1"/>
        </w:rPr>
        <w:t> </w:t>
      </w:r>
      <w:r>
        <w:rPr/>
        <w:t>(e.g.,</w:t>
      </w:r>
      <w:r>
        <w:rPr>
          <w:spacing w:val="-2"/>
        </w:rPr>
        <w:t> </w:t>
      </w:r>
      <w:r>
        <w:rPr/>
        <w:t>18</w:t>
      </w:r>
      <w:r>
        <w:rPr>
          <w:spacing w:val="-2"/>
        </w:rPr>
        <w:t> </w:t>
      </w:r>
      <w:r>
        <w:rPr/>
        <w:t>to</w:t>
      </w:r>
      <w:r>
        <w:rPr>
          <w:spacing w:val="-2"/>
        </w:rPr>
        <w:t> </w:t>
      </w:r>
      <w:r>
        <w:rPr/>
        <w:t>24</w:t>
      </w:r>
      <w:r>
        <w:rPr>
          <w:spacing w:val="-2"/>
        </w:rPr>
        <w:t> </w:t>
      </w:r>
      <w:r>
        <w:rPr/>
        <w:t>years</w:t>
      </w:r>
      <w:r>
        <w:rPr>
          <w:spacing w:val="-1"/>
        </w:rPr>
        <w:t> </w:t>
      </w:r>
      <w:r>
        <w:rPr/>
        <w:t>old)</w:t>
      </w:r>
      <w:r>
        <w:rPr>
          <w:spacing w:val="-1"/>
        </w:rPr>
        <w:t> </w:t>
      </w:r>
      <w:r>
        <w:rPr/>
        <w:t>had higher rates of pregnancies that were unintended (between 63% and 84%; </w:t>
      </w:r>
      <w:hyperlink r:id="rId7">
        <w:r>
          <w:rPr/>
          <w:t>Finer</w:t>
        </w:r>
      </w:hyperlink>
      <w:r>
        <w:rPr/>
        <w:t> &amp; </w:t>
      </w:r>
      <w:hyperlink r:id="rId8">
        <w:r>
          <w:rPr/>
          <w:t>Zolna,</w:t>
        </w:r>
      </w:hyperlink>
      <w:r>
        <w:rPr/>
        <w:t> 2011). Although higher education has been associated with higher rates of contraceptive use (</w:t>
      </w:r>
      <w:hyperlink r:id="rId9">
        <w:r>
          <w:rPr/>
          <w:t>Wu,</w:t>
        </w:r>
      </w:hyperlink>
      <w:r>
        <w:rPr/>
        <w:t> </w:t>
      </w:r>
      <w:hyperlink r:id="rId10">
        <w:r>
          <w:rPr/>
          <w:t>Meldrum,</w:t>
        </w:r>
      </w:hyperlink>
      <w:r>
        <w:rPr/>
        <w:t> </w:t>
      </w:r>
      <w:hyperlink r:id="rId10">
        <w:r>
          <w:rPr/>
          <w:t>Dozier,</w:t>
        </w:r>
      </w:hyperlink>
      <w:r>
        <w:rPr/>
        <w:t> </w:t>
      </w:r>
      <w:hyperlink r:id="rId11">
        <w:r>
          <w:rPr/>
          <w:t>Stanwood,</w:t>
        </w:r>
      </w:hyperlink>
      <w:r>
        <w:rPr/>
        <w:t> &amp; </w:t>
      </w:r>
      <w:hyperlink r:id="rId12">
        <w:r>
          <w:rPr/>
          <w:t>Fiscella,</w:t>
        </w:r>
      </w:hyperlink>
      <w:r>
        <w:rPr/>
        <w:t> 2008), an estimated 1.7% of female college students reported experiencing an unintended pregnancy within the past 12 months in 2013 (American College Health Association-National College Health Assessment II, 2013). This suggests that continued</w:t>
      </w:r>
      <w:r>
        <w:rPr>
          <w:spacing w:val="76"/>
        </w:rPr>
        <w:t>  </w:t>
      </w:r>
      <w:r>
        <w:rPr/>
        <w:t>efforts</w:t>
      </w:r>
      <w:r>
        <w:rPr>
          <w:spacing w:val="77"/>
        </w:rPr>
        <w:t>  </w:t>
      </w:r>
      <w:r>
        <w:rPr/>
        <w:t>to</w:t>
      </w:r>
      <w:r>
        <w:rPr>
          <w:spacing w:val="76"/>
        </w:rPr>
        <w:t>  </w:t>
      </w:r>
      <w:r>
        <w:rPr/>
        <w:t>prevent</w:t>
      </w:r>
      <w:r>
        <w:rPr>
          <w:spacing w:val="77"/>
        </w:rPr>
        <w:t>  </w:t>
      </w:r>
      <w:r>
        <w:rPr>
          <w:spacing w:val="-2"/>
        </w:rPr>
        <w:t>unintended</w:t>
      </w:r>
    </w:p>
    <w:p>
      <w:pPr>
        <w:pStyle w:val="BodyText"/>
        <w:spacing w:before="91"/>
        <w:ind w:left="120" w:right="115"/>
        <w:jc w:val="both"/>
      </w:pPr>
      <w:r>
        <w:rPr/>
        <w:br w:type="column"/>
      </w:r>
      <w:r>
        <w:rPr/>
        <w:t>pregnancies among college students are highly </w:t>
      </w:r>
      <w:r>
        <w:rPr>
          <w:spacing w:val="-2"/>
        </w:rPr>
        <w:t>needed.</w:t>
      </w:r>
    </w:p>
    <w:p>
      <w:pPr>
        <w:pStyle w:val="BodyText"/>
        <w:spacing w:before="253"/>
        <w:ind w:left="120" w:right="113"/>
        <w:jc w:val="both"/>
      </w:pPr>
      <w:r>
        <w:rPr/>
        <w:t>The direct medical costs of unintended pregnancies were $5 billion in 2002 (Trussell, 2007). Children resulting from unintended pregnancies have lower scores of overall well- being and poorer developmental outcomes (Hummer, Hack &amp; Raley, 2004; de La Rochebrochard &amp; Joshi, 2013). Problems accessing contraception and discontinuation of contraception have been commonly reported reasons for unintended pregnancies among women attending family planning and prenatal clinics (</w:t>
      </w:r>
      <w:hyperlink r:id="rId13">
        <w:r>
          <w:rPr/>
          <w:t>Iuliano,</w:t>
        </w:r>
      </w:hyperlink>
      <w:r>
        <w:rPr/>
        <w:t> Speizer, Santelli &amp; Kendall, 2006). In one study, underestimating the risk of pregnancy was the most frequently-reported reason for not using contraception among</w:t>
      </w:r>
      <w:r>
        <w:rPr>
          <w:spacing w:val="40"/>
        </w:rPr>
        <w:t> </w:t>
      </w:r>
      <w:r>
        <w:rPr/>
        <w:t>women seeking an abortion. Only 38% of the women reported knowing that they were at risk of getting pregnant when they had intercourse that later ended in pregnancy (Moreau, Bouver, Goulard &amp; Bajos, 2005).</w:t>
      </w:r>
    </w:p>
    <w:p>
      <w:pPr>
        <w:spacing w:after="0"/>
        <w:jc w:val="both"/>
        <w:sectPr>
          <w:type w:val="continuous"/>
          <w:pgSz w:w="12240" w:h="15840"/>
          <w:pgMar w:header="699" w:footer="794" w:top="1340" w:bottom="980" w:left="1320" w:right="1320"/>
          <w:cols w:num="2" w:equalWidth="0">
            <w:col w:w="4484" w:space="556"/>
            <w:col w:w="4560"/>
          </w:cols>
        </w:sectPr>
      </w:pPr>
    </w:p>
    <w:p>
      <w:pPr>
        <w:pStyle w:val="BodyText"/>
        <w:spacing w:before="84"/>
        <w:ind w:right="38"/>
        <w:jc w:val="both"/>
      </w:pPr>
      <w:r>
        <w:rPr/>
        <w:t>In response to</w:t>
      </w:r>
      <w:r>
        <w:rPr>
          <w:spacing w:val="-2"/>
        </w:rPr>
        <w:t> </w:t>
      </w:r>
      <w:r>
        <w:rPr/>
        <w:t>the high prevalence of unintended pregnancies and its adverse health</w:t>
      </w:r>
      <w:r>
        <w:rPr>
          <w:spacing w:val="80"/>
        </w:rPr>
        <w:t> </w:t>
      </w:r>
      <w:r>
        <w:rPr/>
        <w:t>consequences, </w:t>
      </w:r>
      <w:r>
        <w:rPr>
          <w:i/>
        </w:rPr>
        <w:t>Healthy People 2020 </w:t>
      </w:r>
      <w:r>
        <w:rPr/>
        <w:t>includes objectives to improve pregnancy planning, spacing,</w:t>
      </w:r>
      <w:r>
        <w:rPr>
          <w:spacing w:val="40"/>
        </w:rPr>
        <w:t> </w:t>
      </w:r>
      <w:r>
        <w:rPr/>
        <w:t>and</w:t>
      </w:r>
      <w:r>
        <w:rPr>
          <w:spacing w:val="40"/>
        </w:rPr>
        <w:t> </w:t>
      </w:r>
      <w:r>
        <w:rPr/>
        <w:t>preventing</w:t>
      </w:r>
      <w:r>
        <w:rPr>
          <w:spacing w:val="40"/>
        </w:rPr>
        <w:t> </w:t>
      </w:r>
      <w:r>
        <w:rPr/>
        <w:t>unintended</w:t>
      </w:r>
      <w:r>
        <w:rPr>
          <w:spacing w:val="80"/>
          <w:w w:val="150"/>
        </w:rPr>
        <w:t> </w:t>
      </w:r>
      <w:r>
        <w:rPr/>
        <w:t>pregnancy.</w:t>
      </w:r>
      <w:r>
        <w:rPr>
          <w:spacing w:val="-2"/>
        </w:rPr>
        <w:t> </w:t>
      </w:r>
      <w:r>
        <w:rPr/>
        <w:t>One objective is to increase the proportion of pregnancies that are intended from approximately 50% in most recent assessments to 56% in 2020 (U.S. Department of Health and Human Services, 2014). Family planning efforts that can help reduce unintended pregnancy include increasing access to contraception and increasing correct and consistent use of contraceptive methods among those who are sexually active but wish to delay or avoid pregnancy (CDC, 2014).</w:t>
      </w:r>
    </w:p>
    <w:p>
      <w:pPr>
        <w:pStyle w:val="BodyText"/>
        <w:spacing w:before="4"/>
        <w:ind w:left="0"/>
      </w:pPr>
    </w:p>
    <w:p>
      <w:pPr>
        <w:pStyle w:val="Heading1"/>
        <w:ind w:left="119"/>
        <w:jc w:val="both"/>
      </w:pPr>
      <w:r>
        <w:rPr/>
        <w:t>Emergency</w:t>
      </w:r>
      <w:r>
        <w:rPr>
          <w:spacing w:val="-5"/>
        </w:rPr>
        <w:t> </w:t>
      </w:r>
      <w:r>
        <w:rPr>
          <w:spacing w:val="-2"/>
        </w:rPr>
        <w:t>Contraception</w:t>
      </w:r>
    </w:p>
    <w:p>
      <w:pPr>
        <w:pStyle w:val="BodyText"/>
        <w:ind w:right="38"/>
        <w:jc w:val="both"/>
      </w:pPr>
      <w:r>
        <w:rPr/>
        <w:t>Emergency contraception (EC) is a form of contraception that can prevent pregnancy after unprotected sexual intercourse has occurred (Trussel, Ellertson &amp; Stewart, 1996). The Food and Drug Administration (FDA) first approved EC prescription pills in 1998, but there is documented evidence of some use of hormonal contraceptives for EC as early as the 1960s (Ellertson, 1996). To maximize EC’s effectiveness of preventing conception, oral EC needs to be taken within 12 hours following unprotected intercourse; but EC can be 75% effective for up to 72 hours (CDC, 2010).</w:t>
      </w:r>
    </w:p>
    <w:p>
      <w:pPr>
        <w:pStyle w:val="BodyText"/>
        <w:spacing w:before="250"/>
        <w:ind w:right="40"/>
        <w:jc w:val="both"/>
      </w:pPr>
      <w:r>
        <w:rPr/>
        <w:t>EC has become increasingly accessible in recent years.</w:t>
      </w:r>
      <w:r>
        <w:rPr>
          <w:spacing w:val="-2"/>
        </w:rPr>
        <w:t> </w:t>
      </w:r>
      <w:r>
        <w:rPr/>
        <w:t>In</w:t>
      </w:r>
      <w:r>
        <w:rPr>
          <w:spacing w:val="-2"/>
        </w:rPr>
        <w:t> </w:t>
      </w:r>
      <w:r>
        <w:rPr/>
        <w:t>June</w:t>
      </w:r>
      <w:r>
        <w:rPr>
          <w:spacing w:val="-3"/>
        </w:rPr>
        <w:t> </w:t>
      </w:r>
      <w:r>
        <w:rPr/>
        <w:t>2009,</w:t>
      </w:r>
      <w:r>
        <w:rPr>
          <w:spacing w:val="-3"/>
        </w:rPr>
        <w:t> </w:t>
      </w:r>
      <w:r>
        <w:rPr/>
        <w:t>the</w:t>
      </w:r>
      <w:r>
        <w:rPr>
          <w:spacing w:val="-3"/>
        </w:rPr>
        <w:t> </w:t>
      </w:r>
      <w:r>
        <w:rPr/>
        <w:t>FDA</w:t>
      </w:r>
      <w:r>
        <w:rPr>
          <w:spacing w:val="-3"/>
        </w:rPr>
        <w:t> </w:t>
      </w:r>
      <w:r>
        <w:rPr/>
        <w:t>approved</w:t>
      </w:r>
      <w:r>
        <w:rPr>
          <w:spacing w:val="-2"/>
        </w:rPr>
        <w:t> </w:t>
      </w:r>
      <w:r>
        <w:rPr/>
        <w:t>“Plan</w:t>
      </w:r>
      <w:r>
        <w:rPr>
          <w:spacing w:val="-2"/>
        </w:rPr>
        <w:t> </w:t>
      </w:r>
      <w:r>
        <w:rPr/>
        <w:t>B” to be available to women over the age of 17 without a prescription. In 2013, Plan B became available to females of all ages without a prescription (FDA, 2013). In 2011, approximately 62% of California community college student health centers provided EC to students (Trieu, Shenoy, Bratton &amp; Marshak, </w:t>
      </w:r>
      <w:r>
        <w:rPr>
          <w:spacing w:val="-2"/>
        </w:rPr>
        <w:t>2011).</w:t>
      </w:r>
    </w:p>
    <w:p>
      <w:pPr>
        <w:pStyle w:val="BodyText"/>
        <w:spacing w:before="1"/>
        <w:ind w:left="0"/>
      </w:pPr>
    </w:p>
    <w:p>
      <w:pPr>
        <w:pStyle w:val="BodyText"/>
        <w:ind w:right="39"/>
        <w:jc w:val="both"/>
      </w:pPr>
      <w:r>
        <w:rPr/>
        <w:t>EC use is higher among college-aged women. Between 2006–2010, about one in nine (11%) sexually experienced U.S. women ages 15–44 years reported using EC at least once, compared to 23% of women between 20-24 years. EC use is also more common among those who never married, Hispanic or White women, and those who</w:t>
      </w:r>
      <w:r>
        <w:rPr>
          <w:spacing w:val="56"/>
        </w:rPr>
        <w:t> </w:t>
      </w:r>
      <w:r>
        <w:rPr/>
        <w:t>have</w:t>
      </w:r>
      <w:r>
        <w:rPr>
          <w:spacing w:val="56"/>
        </w:rPr>
        <w:t> </w:t>
      </w:r>
      <w:r>
        <w:rPr/>
        <w:t>attended</w:t>
      </w:r>
      <w:r>
        <w:rPr>
          <w:spacing w:val="54"/>
        </w:rPr>
        <w:t> </w:t>
      </w:r>
      <w:r>
        <w:rPr/>
        <w:t>college</w:t>
      </w:r>
      <w:r>
        <w:rPr>
          <w:spacing w:val="56"/>
        </w:rPr>
        <w:t> </w:t>
      </w:r>
      <w:r>
        <w:rPr/>
        <w:t>(Daniels,</w:t>
      </w:r>
      <w:r>
        <w:rPr>
          <w:spacing w:val="52"/>
        </w:rPr>
        <w:t> </w:t>
      </w:r>
      <w:r>
        <w:rPr/>
        <w:t>Jones</w:t>
      </w:r>
      <w:r>
        <w:rPr>
          <w:spacing w:val="57"/>
        </w:rPr>
        <w:t> </w:t>
      </w:r>
      <w:r>
        <w:rPr>
          <w:spacing w:val="-10"/>
        </w:rPr>
        <w:t>&amp;</w:t>
      </w:r>
    </w:p>
    <w:p>
      <w:pPr>
        <w:pStyle w:val="BodyText"/>
        <w:spacing w:before="81"/>
        <w:ind w:right="115"/>
        <w:jc w:val="both"/>
      </w:pPr>
      <w:r>
        <w:rPr/>
        <w:br w:type="column"/>
      </w:r>
      <w:r>
        <w:rPr/>
        <w:t>Abma, 2013). In another study, approximately 28% of sexually active female university students had used EC (Hickey, 2009).</w:t>
      </w:r>
    </w:p>
    <w:p>
      <w:pPr>
        <w:pStyle w:val="BodyText"/>
        <w:spacing w:before="1"/>
        <w:ind w:left="0"/>
      </w:pPr>
    </w:p>
    <w:p>
      <w:pPr>
        <w:pStyle w:val="BodyText"/>
        <w:ind w:right="115"/>
        <w:jc w:val="both"/>
      </w:pPr>
      <w:r>
        <w:rPr/>
        <w:t>Despite the higher rates of EC use among</w:t>
      </w:r>
      <w:r>
        <w:rPr>
          <w:spacing w:val="40"/>
        </w:rPr>
        <w:t> </w:t>
      </w:r>
      <w:r>
        <w:rPr/>
        <w:t>college aged women, even higher rates of EC</w:t>
      </w:r>
      <w:r>
        <w:rPr>
          <w:spacing w:val="40"/>
        </w:rPr>
        <w:t> </w:t>
      </w:r>
      <w:r>
        <w:rPr/>
        <w:t>use are needed, evidenced by the increased percentage</w:t>
      </w:r>
      <w:r>
        <w:rPr>
          <w:spacing w:val="-4"/>
        </w:rPr>
        <w:t> </w:t>
      </w:r>
      <w:r>
        <w:rPr/>
        <w:t>of</w:t>
      </w:r>
      <w:r>
        <w:rPr>
          <w:spacing w:val="-4"/>
        </w:rPr>
        <w:t> </w:t>
      </w:r>
      <w:r>
        <w:rPr/>
        <w:t>unintended</w:t>
      </w:r>
      <w:r>
        <w:rPr>
          <w:spacing w:val="-4"/>
        </w:rPr>
        <w:t> </w:t>
      </w:r>
      <w:r>
        <w:rPr/>
        <w:t>pregnancies</w:t>
      </w:r>
      <w:r>
        <w:rPr>
          <w:spacing w:val="-4"/>
        </w:rPr>
        <w:t> </w:t>
      </w:r>
      <w:r>
        <w:rPr/>
        <w:t>from</w:t>
      </w:r>
      <w:r>
        <w:rPr>
          <w:spacing w:val="-8"/>
        </w:rPr>
        <w:t> </w:t>
      </w:r>
      <w:r>
        <w:rPr/>
        <w:t>2001 to 2008 (Finer &amp; Zolna, 2014). Possible ways to increase EC use is to increase knowledge about EC facts and consider attitudes both women and men have regarding EC use.</w:t>
      </w:r>
    </w:p>
    <w:p>
      <w:pPr>
        <w:pStyle w:val="BodyText"/>
        <w:spacing w:before="251"/>
        <w:ind w:right="114"/>
        <w:jc w:val="both"/>
      </w:pPr>
      <w:r>
        <w:rPr>
          <w:b/>
        </w:rPr>
        <w:t>Emergency Contraception Knowledge. </w:t>
      </w:r>
      <w:r>
        <w:rPr/>
        <w:t>A lack of knowledge about EC and its availability may lead to lower rates of use. In California, EC awareness has increased among women from 40% to 57% between 1999 and 2004 (Foster, Ralph, Arons, Brindis &amp; Harper, 2006). Despite these encouraging findings, there is room for improvement. In one study, only half of the women surveyed were able to correctly identify 72 hours as the effective time period to take EC following unprotected sex (Whitaker, Berger, Armstrong, Felice &amp; Adams, 2007). Another study indicated that several women were not</w:t>
      </w:r>
      <w:r>
        <w:rPr>
          <w:spacing w:val="40"/>
        </w:rPr>
        <w:t> </w:t>
      </w:r>
      <w:r>
        <w:rPr/>
        <w:t>able to distinguish RU-486 (the “abortion pill”) from EC, which prevents conception in the first place (Hickey, 2009). Other gaps in knowledge documented among women that may inhibit</w:t>
      </w:r>
      <w:r>
        <w:rPr>
          <w:spacing w:val="40"/>
        </w:rPr>
        <w:t> </w:t>
      </w:r>
      <w:r>
        <w:rPr/>
        <w:t>their EC use include misperceptions about the effectiveness of EC, common EC side effects (including infertility), and that it is approved by the U.S. government (Miller, 2011; Shoveller, Chabot,</w:t>
      </w:r>
      <w:r>
        <w:rPr>
          <w:spacing w:val="-4"/>
        </w:rPr>
        <w:t> </w:t>
      </w:r>
      <w:r>
        <w:rPr/>
        <w:t>Soon</w:t>
      </w:r>
      <w:r>
        <w:rPr>
          <w:spacing w:val="-2"/>
        </w:rPr>
        <w:t> </w:t>
      </w:r>
      <w:r>
        <w:rPr/>
        <w:t>&amp;</w:t>
      </w:r>
      <w:r>
        <w:rPr>
          <w:spacing w:val="-6"/>
        </w:rPr>
        <w:t> </w:t>
      </w:r>
      <w:r>
        <w:rPr/>
        <w:t>Levine,</w:t>
      </w:r>
      <w:r>
        <w:rPr>
          <w:spacing w:val="-4"/>
        </w:rPr>
        <w:t> </w:t>
      </w:r>
      <w:r>
        <w:rPr/>
        <w:t>2007).</w:t>
      </w:r>
      <w:r>
        <w:rPr>
          <w:spacing w:val="-2"/>
        </w:rPr>
        <w:t> </w:t>
      </w:r>
      <w:r>
        <w:rPr/>
        <w:t>In</w:t>
      </w:r>
      <w:r>
        <w:rPr>
          <w:spacing w:val="-2"/>
        </w:rPr>
        <w:t> </w:t>
      </w:r>
      <w:r>
        <w:rPr/>
        <w:t>another</w:t>
      </w:r>
      <w:r>
        <w:rPr>
          <w:spacing w:val="-3"/>
        </w:rPr>
        <w:t> </w:t>
      </w:r>
      <w:r>
        <w:rPr/>
        <w:t>study, the majority (60%) of students who had access</w:t>
      </w:r>
      <w:r>
        <w:rPr>
          <w:spacing w:val="40"/>
        </w:rPr>
        <w:t> </w:t>
      </w:r>
      <w:r>
        <w:rPr/>
        <w:t>to</w:t>
      </w:r>
      <w:r>
        <w:rPr>
          <w:spacing w:val="-3"/>
        </w:rPr>
        <w:t> </w:t>
      </w:r>
      <w:r>
        <w:rPr/>
        <w:t>EC</w:t>
      </w:r>
      <w:r>
        <w:rPr>
          <w:spacing w:val="-4"/>
        </w:rPr>
        <w:t> </w:t>
      </w:r>
      <w:r>
        <w:rPr/>
        <w:t>on</w:t>
      </w:r>
      <w:r>
        <w:rPr>
          <w:spacing w:val="-3"/>
        </w:rPr>
        <w:t> </w:t>
      </w:r>
      <w:r>
        <w:rPr/>
        <w:t>their</w:t>
      </w:r>
      <w:r>
        <w:rPr>
          <w:spacing w:val="-2"/>
        </w:rPr>
        <w:t> </w:t>
      </w:r>
      <w:r>
        <w:rPr/>
        <w:t>own</w:t>
      </w:r>
      <w:r>
        <w:rPr>
          <w:spacing w:val="-3"/>
        </w:rPr>
        <w:t> </w:t>
      </w:r>
      <w:r>
        <w:rPr/>
        <w:t>college</w:t>
      </w:r>
      <w:r>
        <w:rPr>
          <w:spacing w:val="-3"/>
        </w:rPr>
        <w:t> </w:t>
      </w:r>
      <w:r>
        <w:rPr/>
        <w:t>campus</w:t>
      </w:r>
      <w:r>
        <w:rPr>
          <w:spacing w:val="-3"/>
        </w:rPr>
        <w:t> </w:t>
      </w:r>
      <w:r>
        <w:rPr/>
        <w:t>did</w:t>
      </w:r>
      <w:r>
        <w:rPr>
          <w:spacing w:val="-3"/>
        </w:rPr>
        <w:t> </w:t>
      </w:r>
      <w:r>
        <w:rPr/>
        <w:t>not</w:t>
      </w:r>
      <w:r>
        <w:rPr>
          <w:spacing w:val="-2"/>
        </w:rPr>
        <w:t> </w:t>
      </w:r>
      <w:r>
        <w:rPr/>
        <w:t>know that they could obtain it there (Hickey, 2009).</w:t>
      </w:r>
    </w:p>
    <w:p>
      <w:pPr>
        <w:pStyle w:val="BodyText"/>
        <w:spacing w:before="4"/>
        <w:ind w:left="0"/>
      </w:pPr>
    </w:p>
    <w:p>
      <w:pPr>
        <w:pStyle w:val="BodyText"/>
        <w:ind w:right="114"/>
        <w:jc w:val="both"/>
      </w:pPr>
      <w:r>
        <w:rPr>
          <w:b/>
        </w:rPr>
        <w:t>Attitudes toward Emergency Contraception. </w:t>
      </w:r>
      <w:r>
        <w:rPr/>
        <w:t>More favorable attitudes toward EC use may lead to a greater likelihood of using EC when needed. In one study, negative feelings toward pregnancy were the strongest predictors of</w:t>
      </w:r>
      <w:r>
        <w:rPr>
          <w:spacing w:val="40"/>
        </w:rPr>
        <w:t> </w:t>
      </w:r>
      <w:r>
        <w:rPr/>
        <w:t>recent EC use among women attending publicly funded family planning clinics (Whitaker et al., 2007). In another study among undergraduate college students, males were more receptive toward females using EC if they [males] were more knowledgeable about EC facts (Miller, 2011).</w:t>
      </w:r>
      <w:r>
        <w:rPr>
          <w:spacing w:val="5"/>
        </w:rPr>
        <w:t> </w:t>
      </w:r>
      <w:r>
        <w:rPr/>
        <w:t>Research</w:t>
      </w:r>
      <w:r>
        <w:rPr>
          <w:spacing w:val="5"/>
        </w:rPr>
        <w:t> </w:t>
      </w:r>
      <w:r>
        <w:rPr/>
        <w:t>has</w:t>
      </w:r>
      <w:r>
        <w:rPr>
          <w:spacing w:val="5"/>
        </w:rPr>
        <w:t> </w:t>
      </w:r>
      <w:r>
        <w:rPr/>
        <w:t>also</w:t>
      </w:r>
      <w:r>
        <w:rPr>
          <w:spacing w:val="5"/>
        </w:rPr>
        <w:t> </w:t>
      </w:r>
      <w:r>
        <w:rPr/>
        <w:t>shown</w:t>
      </w:r>
      <w:r>
        <w:rPr>
          <w:spacing w:val="5"/>
        </w:rPr>
        <w:t> </w:t>
      </w:r>
      <w:r>
        <w:rPr/>
        <w:t>that</w:t>
      </w:r>
      <w:r>
        <w:rPr>
          <w:spacing w:val="6"/>
        </w:rPr>
        <w:t> </w:t>
      </w:r>
      <w:r>
        <w:rPr/>
        <w:t>about</w:t>
      </w:r>
      <w:r>
        <w:rPr>
          <w:spacing w:val="67"/>
        </w:rPr>
        <w:t> </w:t>
      </w:r>
      <w:r>
        <w:rPr>
          <w:spacing w:val="-5"/>
        </w:rPr>
        <w:t>86%</w:t>
      </w:r>
    </w:p>
    <w:p>
      <w:pPr>
        <w:spacing w:after="0"/>
        <w:jc w:val="both"/>
        <w:sectPr>
          <w:pgSz w:w="12240" w:h="15840"/>
          <w:pgMar w:header="699" w:footer="794" w:top="1340" w:bottom="980" w:left="1320" w:right="1320"/>
          <w:cols w:num="2" w:equalWidth="0">
            <w:col w:w="4485" w:space="555"/>
            <w:col w:w="4560"/>
          </w:cols>
        </w:sectPr>
      </w:pPr>
    </w:p>
    <w:p>
      <w:pPr>
        <w:pStyle w:val="BodyText"/>
        <w:spacing w:before="84"/>
        <w:ind w:left="120" w:right="38"/>
        <w:jc w:val="both"/>
      </w:pPr>
      <w:r>
        <w:rPr/>
        <w:t>of college aged students approved of EC in the event of contraception failure, and 68%</w:t>
      </w:r>
      <w:r>
        <w:rPr>
          <w:spacing w:val="40"/>
        </w:rPr>
        <w:t> </w:t>
      </w:r>
      <w:r>
        <w:rPr/>
        <w:t>approved of it in the event of unprotected sexual intercourse (Vahratian, Patel, Wolff, and Xu, </w:t>
      </w:r>
      <w:r>
        <w:rPr>
          <w:spacing w:val="-2"/>
        </w:rPr>
        <w:t>2008).</w:t>
      </w:r>
    </w:p>
    <w:p>
      <w:pPr>
        <w:pStyle w:val="BodyText"/>
        <w:spacing w:before="3"/>
        <w:ind w:left="0"/>
      </w:pPr>
    </w:p>
    <w:p>
      <w:pPr>
        <w:pStyle w:val="BodyText"/>
        <w:tabs>
          <w:tab w:pos="1408" w:val="left" w:leader="none"/>
          <w:tab w:pos="1464" w:val="left" w:leader="none"/>
          <w:tab w:pos="2719" w:val="left" w:leader="none"/>
          <w:tab w:pos="3151" w:val="left" w:leader="none"/>
          <w:tab w:pos="3665" w:val="left" w:leader="none"/>
          <w:tab w:pos="4269" w:val="left" w:leader="none"/>
        </w:tabs>
        <w:ind w:left="120" w:right="38"/>
      </w:pPr>
      <w:r>
        <w:rPr>
          <w:b/>
        </w:rPr>
        <w:t>Men’s Support Role in Contraceptive Use </w:t>
      </w:r>
      <w:r>
        <w:rPr/>
        <w:t>Historically women are studied more frequently about</w:t>
      </w:r>
      <w:r>
        <w:rPr>
          <w:spacing w:val="40"/>
        </w:rPr>
        <w:t> </w:t>
      </w:r>
      <w:r>
        <w:rPr/>
        <w:t>EC</w:t>
      </w:r>
      <w:r>
        <w:rPr>
          <w:spacing w:val="40"/>
        </w:rPr>
        <w:t> </w:t>
      </w:r>
      <w:r>
        <w:rPr/>
        <w:t>than</w:t>
      </w:r>
      <w:r>
        <w:rPr>
          <w:spacing w:val="40"/>
        </w:rPr>
        <w:t> </w:t>
      </w:r>
      <w:r>
        <w:rPr/>
        <w:t>men,</w:t>
      </w:r>
      <w:r>
        <w:rPr>
          <w:spacing w:val="40"/>
        </w:rPr>
        <w:t> </w:t>
      </w:r>
      <w:r>
        <w:rPr/>
        <w:t>because</w:t>
      </w:r>
      <w:r>
        <w:rPr>
          <w:spacing w:val="40"/>
        </w:rPr>
        <w:t> </w:t>
      </w:r>
      <w:r>
        <w:rPr/>
        <w:t>women</w:t>
      </w:r>
      <w:r>
        <w:rPr>
          <w:spacing w:val="40"/>
        </w:rPr>
        <w:t> </w:t>
      </w:r>
      <w:r>
        <w:rPr/>
        <w:t>are</w:t>
      </w:r>
      <w:r>
        <w:rPr>
          <w:spacing w:val="40"/>
        </w:rPr>
        <w:t> </w:t>
      </w:r>
      <w:r>
        <w:rPr/>
        <w:t>the direct</w:t>
      </w:r>
      <w:r>
        <w:rPr>
          <w:spacing w:val="40"/>
        </w:rPr>
        <w:t> </w:t>
      </w:r>
      <w:r>
        <w:rPr/>
        <w:t>consumers</w:t>
      </w:r>
      <w:r>
        <w:rPr>
          <w:spacing w:val="40"/>
        </w:rPr>
        <w:t> </w:t>
      </w:r>
      <w:r>
        <w:rPr/>
        <w:t>of</w:t>
      </w:r>
      <w:r>
        <w:rPr>
          <w:spacing w:val="40"/>
        </w:rPr>
        <w:t> </w:t>
      </w:r>
      <w:r>
        <w:rPr/>
        <w:t>most</w:t>
      </w:r>
      <w:r>
        <w:rPr>
          <w:spacing w:val="40"/>
        </w:rPr>
        <w:t> </w:t>
      </w:r>
      <w:r>
        <w:rPr/>
        <w:t>contraceptives.</w:t>
      </w:r>
      <w:r>
        <w:rPr>
          <w:spacing w:val="40"/>
        </w:rPr>
        <w:t> </w:t>
      </w:r>
      <w:r>
        <w:rPr/>
        <w:t>It</w:t>
      </w:r>
      <w:r>
        <w:rPr>
          <w:spacing w:val="40"/>
        </w:rPr>
        <w:t> </w:t>
      </w:r>
      <w:r>
        <w:rPr/>
        <w:t>is important,</w:t>
      </w:r>
      <w:r>
        <w:rPr>
          <w:spacing w:val="40"/>
        </w:rPr>
        <w:t> </w:t>
      </w:r>
      <w:r>
        <w:rPr/>
        <w:t>however,</w:t>
      </w:r>
      <w:r>
        <w:rPr>
          <w:spacing w:val="40"/>
        </w:rPr>
        <w:t> </w:t>
      </w:r>
      <w:r>
        <w:rPr/>
        <w:t>to</w:t>
      </w:r>
      <w:r>
        <w:rPr>
          <w:spacing w:val="40"/>
        </w:rPr>
        <w:t> </w:t>
      </w:r>
      <w:r>
        <w:rPr/>
        <w:t>consider</w:t>
      </w:r>
      <w:r>
        <w:rPr>
          <w:spacing w:val="40"/>
        </w:rPr>
        <w:t> </w:t>
      </w:r>
      <w:r>
        <w:rPr/>
        <w:t>men’s</w:t>
      </w:r>
      <w:r>
        <w:rPr>
          <w:spacing w:val="40"/>
        </w:rPr>
        <w:t> </w:t>
      </w:r>
      <w:r>
        <w:rPr/>
        <w:t>role</w:t>
      </w:r>
      <w:r>
        <w:rPr>
          <w:spacing w:val="40"/>
        </w:rPr>
        <w:t> </w:t>
      </w:r>
      <w:r>
        <w:rPr/>
        <w:t>in their</w:t>
      </w:r>
      <w:r>
        <w:rPr>
          <w:spacing w:val="40"/>
        </w:rPr>
        <w:t> </w:t>
      </w:r>
      <w:r>
        <w:rPr/>
        <w:t>female</w:t>
      </w:r>
      <w:r>
        <w:rPr>
          <w:spacing w:val="40"/>
        </w:rPr>
        <w:t> </w:t>
      </w:r>
      <w:r>
        <w:rPr/>
        <w:t>partners’</w:t>
      </w:r>
      <w:r>
        <w:rPr>
          <w:spacing w:val="40"/>
        </w:rPr>
        <w:t> </w:t>
      </w:r>
      <w:r>
        <w:rPr/>
        <w:t>contraceptive</w:t>
      </w:r>
      <w:r>
        <w:rPr>
          <w:spacing w:val="40"/>
        </w:rPr>
        <w:t> </w:t>
      </w:r>
      <w:r>
        <w:rPr/>
        <w:t>decisions. Previous</w:t>
      </w:r>
      <w:r>
        <w:rPr>
          <w:spacing w:val="28"/>
        </w:rPr>
        <w:t> </w:t>
      </w:r>
      <w:r>
        <w:rPr/>
        <w:t>research</w:t>
      </w:r>
      <w:r>
        <w:rPr>
          <w:spacing w:val="30"/>
        </w:rPr>
        <w:t> </w:t>
      </w:r>
      <w:r>
        <w:rPr/>
        <w:t>suggests</w:t>
      </w:r>
      <w:r>
        <w:rPr>
          <w:spacing w:val="30"/>
        </w:rPr>
        <w:t> </w:t>
      </w:r>
      <w:r>
        <w:rPr/>
        <w:t>that</w:t>
      </w:r>
      <w:r>
        <w:rPr>
          <w:spacing w:val="31"/>
        </w:rPr>
        <w:t> </w:t>
      </w:r>
      <w:r>
        <w:rPr/>
        <w:t>males</w:t>
      </w:r>
      <w:r>
        <w:rPr>
          <w:spacing w:val="30"/>
        </w:rPr>
        <w:t> </w:t>
      </w:r>
      <w:r>
        <w:rPr/>
        <w:t>have</w:t>
      </w:r>
      <w:r>
        <w:rPr>
          <w:spacing w:val="30"/>
        </w:rPr>
        <w:t> </w:t>
      </w:r>
      <w:r>
        <w:rPr/>
        <w:t>the potential</w:t>
      </w:r>
      <w:r>
        <w:rPr>
          <w:spacing w:val="40"/>
        </w:rPr>
        <w:t> </w:t>
      </w:r>
      <w:r>
        <w:rPr/>
        <w:t>to</w:t>
      </w:r>
      <w:r>
        <w:rPr>
          <w:spacing w:val="40"/>
        </w:rPr>
        <w:t> </w:t>
      </w:r>
      <w:r>
        <w:rPr/>
        <w:t>provide</w:t>
      </w:r>
      <w:r>
        <w:rPr>
          <w:spacing w:val="40"/>
        </w:rPr>
        <w:t> </w:t>
      </w:r>
      <w:r>
        <w:rPr/>
        <w:t>support</w:t>
      </w:r>
      <w:r>
        <w:rPr>
          <w:spacing w:val="40"/>
        </w:rPr>
        <w:t> </w:t>
      </w:r>
      <w:r>
        <w:rPr/>
        <w:t>(e.g.,</w:t>
      </w:r>
      <w:r>
        <w:rPr>
          <w:spacing w:val="40"/>
        </w:rPr>
        <w:t> </w:t>
      </w:r>
      <w:r>
        <w:rPr/>
        <w:t>knowledge, advice,</w:t>
      </w:r>
      <w:r>
        <w:rPr>
          <w:spacing w:val="40"/>
        </w:rPr>
        <w:t> </w:t>
      </w:r>
      <w:r>
        <w:rPr/>
        <w:t>emotional</w:t>
      </w:r>
      <w:r>
        <w:rPr>
          <w:spacing w:val="40"/>
        </w:rPr>
        <w:t> </w:t>
      </w:r>
      <w:r>
        <w:rPr/>
        <w:t>support)</w:t>
      </w:r>
      <w:r>
        <w:rPr>
          <w:spacing w:val="40"/>
        </w:rPr>
        <w:t> </w:t>
      </w:r>
      <w:r>
        <w:rPr/>
        <w:t>and</w:t>
      </w:r>
      <w:r>
        <w:rPr>
          <w:spacing w:val="40"/>
        </w:rPr>
        <w:t> </w:t>
      </w:r>
      <w:r>
        <w:rPr/>
        <w:t>to</w:t>
      </w:r>
      <w:r>
        <w:rPr>
          <w:spacing w:val="40"/>
        </w:rPr>
        <w:t> </w:t>
      </w:r>
      <w:r>
        <w:rPr/>
        <w:t>assist</w:t>
      </w:r>
      <w:r>
        <w:rPr>
          <w:spacing w:val="40"/>
        </w:rPr>
        <w:t> </w:t>
      </w:r>
      <w:r>
        <w:rPr/>
        <w:t>their female</w:t>
      </w:r>
      <w:r>
        <w:rPr>
          <w:spacing w:val="40"/>
        </w:rPr>
        <w:t> </w:t>
      </w:r>
      <w:r>
        <w:rPr/>
        <w:t>partners</w:t>
      </w:r>
      <w:r>
        <w:rPr>
          <w:spacing w:val="40"/>
        </w:rPr>
        <w:t> </w:t>
      </w:r>
      <w:r>
        <w:rPr/>
        <w:t>in</w:t>
      </w:r>
      <w:r>
        <w:rPr>
          <w:spacing w:val="40"/>
        </w:rPr>
        <w:t> </w:t>
      </w:r>
      <w:r>
        <w:rPr/>
        <w:t>women’s</w:t>
      </w:r>
      <w:r>
        <w:rPr>
          <w:spacing w:val="40"/>
        </w:rPr>
        <w:t> </w:t>
      </w:r>
      <w:r>
        <w:rPr/>
        <w:t>health</w:t>
      </w:r>
      <w:r>
        <w:rPr>
          <w:spacing w:val="40"/>
        </w:rPr>
        <w:t> </w:t>
      </w:r>
      <w:r>
        <w:rPr/>
        <w:t>issues.</w:t>
      </w:r>
      <w:r>
        <w:rPr>
          <w:spacing w:val="40"/>
        </w:rPr>
        <w:t> </w:t>
      </w:r>
      <w:r>
        <w:rPr/>
        <w:t>For example</w:t>
      </w:r>
      <w:r>
        <w:rPr>
          <w:spacing w:val="80"/>
        </w:rPr>
        <w:t> </w:t>
      </w:r>
      <w:r>
        <w:rPr/>
        <w:t>in</w:t>
      </w:r>
      <w:r>
        <w:rPr>
          <w:spacing w:val="80"/>
        </w:rPr>
        <w:t> </w:t>
      </w:r>
      <w:r>
        <w:rPr/>
        <w:t>one</w:t>
      </w:r>
      <w:r>
        <w:rPr>
          <w:spacing w:val="80"/>
        </w:rPr>
        <w:t> </w:t>
      </w:r>
      <w:r>
        <w:rPr/>
        <w:t>initiative,</w:t>
      </w:r>
      <w:r>
        <w:rPr>
          <w:spacing w:val="80"/>
        </w:rPr>
        <w:t> </w:t>
      </w:r>
      <w:r>
        <w:rPr/>
        <w:t>California's</w:t>
      </w:r>
      <w:r>
        <w:rPr>
          <w:spacing w:val="80"/>
        </w:rPr>
        <w:t> </w:t>
      </w:r>
      <w:r>
        <w:rPr/>
        <w:t>Male Involvement</w:t>
      </w:r>
      <w:r>
        <w:rPr>
          <w:spacing w:val="-3"/>
        </w:rPr>
        <w:t> </w:t>
      </w:r>
      <w:r>
        <w:rPr/>
        <w:t>Program</w:t>
      </w:r>
      <w:r>
        <w:rPr>
          <w:spacing w:val="-7"/>
        </w:rPr>
        <w:t> </w:t>
      </w:r>
      <w:r>
        <w:rPr/>
        <w:t>(MIP),</w:t>
      </w:r>
      <w:r>
        <w:rPr>
          <w:spacing w:val="-4"/>
        </w:rPr>
        <w:t> </w:t>
      </w:r>
      <w:r>
        <w:rPr/>
        <w:t>there</w:t>
      </w:r>
      <w:r>
        <w:rPr>
          <w:spacing w:val="-3"/>
        </w:rPr>
        <w:t> </w:t>
      </w:r>
      <w:r>
        <w:rPr/>
        <w:t>is</w:t>
      </w:r>
      <w:r>
        <w:rPr>
          <w:spacing w:val="-3"/>
        </w:rPr>
        <w:t> </w:t>
      </w:r>
      <w:r>
        <w:rPr/>
        <w:t>a</w:t>
      </w:r>
      <w:r>
        <w:rPr>
          <w:spacing w:val="-5"/>
        </w:rPr>
        <w:t> </w:t>
      </w:r>
      <w:r>
        <w:rPr/>
        <w:t>statewide effort</w:t>
      </w:r>
      <w:r>
        <w:rPr>
          <w:spacing w:val="40"/>
        </w:rPr>
        <w:t> </w:t>
      </w:r>
      <w:r>
        <w:rPr/>
        <w:t>to</w:t>
      </w:r>
      <w:r>
        <w:rPr>
          <w:spacing w:val="40"/>
        </w:rPr>
        <w:t> </w:t>
      </w:r>
      <w:r>
        <w:rPr/>
        <w:t>involve</w:t>
      </w:r>
      <w:r>
        <w:rPr>
          <w:spacing w:val="40"/>
        </w:rPr>
        <w:t> </w:t>
      </w:r>
      <w:r>
        <w:rPr/>
        <w:t>young</w:t>
      </w:r>
      <w:r>
        <w:rPr>
          <w:spacing w:val="40"/>
        </w:rPr>
        <w:t> </w:t>
      </w:r>
      <w:r>
        <w:rPr/>
        <w:t>adult</w:t>
      </w:r>
      <w:r>
        <w:rPr>
          <w:spacing w:val="40"/>
        </w:rPr>
        <w:t> </w:t>
      </w:r>
      <w:r>
        <w:rPr/>
        <w:t>males</w:t>
      </w:r>
      <w:r>
        <w:rPr>
          <w:spacing w:val="40"/>
        </w:rPr>
        <w:t> </w:t>
      </w:r>
      <w:r>
        <w:rPr/>
        <w:t>in</w:t>
      </w:r>
      <w:r>
        <w:rPr>
          <w:spacing w:val="40"/>
        </w:rPr>
        <w:t> </w:t>
      </w:r>
      <w:r>
        <w:rPr/>
        <w:t>teen</w:t>
      </w:r>
      <w:r>
        <w:rPr>
          <w:spacing w:val="80"/>
        </w:rPr>
        <w:t> </w:t>
      </w:r>
      <w:r>
        <w:rPr>
          <w:spacing w:val="-2"/>
        </w:rPr>
        <w:t>pregnancy</w:t>
      </w:r>
      <w:r>
        <w:rPr/>
        <w:tab/>
      </w:r>
      <w:r>
        <w:rPr>
          <w:spacing w:val="-2"/>
        </w:rPr>
        <w:t>prevention</w:t>
      </w:r>
      <w:r>
        <w:rPr/>
        <w:tab/>
      </w:r>
      <w:r>
        <w:rPr>
          <w:spacing w:val="-2"/>
        </w:rPr>
        <w:t>efforts</w:t>
      </w:r>
      <w:r>
        <w:rPr/>
        <w:tab/>
      </w:r>
      <w:r>
        <w:rPr>
          <w:spacing w:val="-2"/>
        </w:rPr>
        <w:t>(Brindis, Barenbaum,</w:t>
      </w:r>
      <w:r>
        <w:rPr/>
        <w:tab/>
        <w:tab/>
      </w:r>
      <w:r>
        <w:rPr>
          <w:spacing w:val="-2"/>
        </w:rPr>
        <w:t>Sanchez-Flores,</w:t>
      </w:r>
      <w:r>
        <w:rPr/>
        <w:tab/>
      </w:r>
      <w:r>
        <w:rPr>
          <w:spacing w:val="-2"/>
        </w:rPr>
        <w:t>McCarter</w:t>
      </w:r>
      <w:r>
        <w:rPr/>
        <w:tab/>
      </w:r>
      <w:r>
        <w:rPr>
          <w:spacing w:val="-10"/>
        </w:rPr>
        <w:t>&amp; </w:t>
      </w:r>
      <w:r>
        <w:rPr/>
        <w:t>Chand, 2005). Another study of Pacific Islander adults suggested that a cervical cancer screening program which involves husbands/male partners can</w:t>
      </w:r>
      <w:r>
        <w:rPr>
          <w:spacing w:val="38"/>
        </w:rPr>
        <w:t> </w:t>
      </w:r>
      <w:r>
        <w:rPr/>
        <w:t>have</w:t>
      </w:r>
      <w:r>
        <w:rPr>
          <w:spacing w:val="38"/>
        </w:rPr>
        <w:t> </w:t>
      </w:r>
      <w:r>
        <w:rPr/>
        <w:t>a</w:t>
      </w:r>
      <w:r>
        <w:rPr>
          <w:spacing w:val="38"/>
        </w:rPr>
        <w:t> </w:t>
      </w:r>
      <w:r>
        <w:rPr/>
        <w:t>stronger</w:t>
      </w:r>
      <w:r>
        <w:rPr>
          <w:spacing w:val="39"/>
        </w:rPr>
        <w:t> </w:t>
      </w:r>
      <w:r>
        <w:rPr/>
        <w:t>impact</w:t>
      </w:r>
      <w:r>
        <w:rPr>
          <w:spacing w:val="39"/>
        </w:rPr>
        <w:t> </w:t>
      </w:r>
      <w:r>
        <w:rPr/>
        <w:t>on</w:t>
      </w:r>
      <w:r>
        <w:rPr>
          <w:spacing w:val="38"/>
        </w:rPr>
        <w:t> </w:t>
      </w:r>
      <w:r>
        <w:rPr/>
        <w:t>cervical</w:t>
      </w:r>
      <w:r>
        <w:rPr>
          <w:spacing w:val="39"/>
        </w:rPr>
        <w:t> </w:t>
      </w:r>
      <w:r>
        <w:rPr/>
        <w:t>cancer screening rates, beyond the impact of traditional cancer</w:t>
      </w:r>
      <w:r>
        <w:rPr>
          <w:spacing w:val="40"/>
        </w:rPr>
        <w:t> </w:t>
      </w:r>
      <w:r>
        <w:rPr/>
        <w:t>prevention</w:t>
      </w:r>
      <w:r>
        <w:rPr>
          <w:spacing w:val="40"/>
        </w:rPr>
        <w:t> </w:t>
      </w:r>
      <w:r>
        <w:rPr/>
        <w:t>strategies</w:t>
      </w:r>
      <w:r>
        <w:rPr>
          <w:spacing w:val="40"/>
        </w:rPr>
        <w:t> </w:t>
      </w:r>
      <w:r>
        <w:rPr/>
        <w:t>that</w:t>
      </w:r>
      <w:r>
        <w:rPr>
          <w:spacing w:val="40"/>
        </w:rPr>
        <w:t> </w:t>
      </w:r>
      <w:r>
        <w:rPr/>
        <w:t>aim</w:t>
      </w:r>
      <w:r>
        <w:rPr>
          <w:spacing w:val="40"/>
        </w:rPr>
        <w:t> </w:t>
      </w:r>
      <w:r>
        <w:rPr/>
        <w:t>only</w:t>
      </w:r>
      <w:r>
        <w:rPr>
          <w:spacing w:val="40"/>
        </w:rPr>
        <w:t> </w:t>
      </w:r>
      <w:r>
        <w:rPr/>
        <w:t>to increase</w:t>
      </w:r>
      <w:r>
        <w:rPr>
          <w:spacing w:val="40"/>
        </w:rPr>
        <w:t> </w:t>
      </w:r>
      <w:r>
        <w:rPr/>
        <w:t>women’s</w:t>
      </w:r>
      <w:r>
        <w:rPr>
          <w:spacing w:val="40"/>
        </w:rPr>
        <w:t> </w:t>
      </w:r>
      <w:r>
        <w:rPr/>
        <w:t>knowledge</w:t>
      </w:r>
      <w:r>
        <w:rPr>
          <w:spacing w:val="40"/>
        </w:rPr>
        <w:t> </w:t>
      </w:r>
      <w:r>
        <w:rPr/>
        <w:t>about</w:t>
      </w:r>
      <w:r>
        <w:rPr>
          <w:spacing w:val="40"/>
        </w:rPr>
        <w:t> </w:t>
      </w:r>
      <w:r>
        <w:rPr/>
        <w:t>their</w:t>
      </w:r>
      <w:r>
        <w:rPr>
          <w:spacing w:val="40"/>
        </w:rPr>
        <w:t> </w:t>
      </w:r>
      <w:r>
        <w:rPr/>
        <w:t>own cancer risk (Tanjasiri, Mouttapa, Sablan-Santos, &amp;</w:t>
      </w:r>
      <w:r>
        <w:rPr>
          <w:spacing w:val="40"/>
        </w:rPr>
        <w:t> </w:t>
      </w:r>
      <w:r>
        <w:rPr/>
        <w:t>Quitugua,</w:t>
      </w:r>
      <w:r>
        <w:rPr>
          <w:spacing w:val="40"/>
        </w:rPr>
        <w:t> </w:t>
      </w:r>
      <w:r>
        <w:rPr/>
        <w:t>2012).</w:t>
      </w:r>
      <w:r>
        <w:rPr>
          <w:spacing w:val="40"/>
        </w:rPr>
        <w:t> </w:t>
      </w:r>
      <w:r>
        <w:rPr/>
        <w:t>In</w:t>
      </w:r>
      <w:r>
        <w:rPr>
          <w:spacing w:val="40"/>
        </w:rPr>
        <w:t> </w:t>
      </w:r>
      <w:r>
        <w:rPr/>
        <w:t>regards</w:t>
      </w:r>
      <w:r>
        <w:rPr>
          <w:spacing w:val="40"/>
        </w:rPr>
        <w:t> </w:t>
      </w:r>
      <w:r>
        <w:rPr/>
        <w:t>to</w:t>
      </w:r>
      <w:r>
        <w:rPr>
          <w:spacing w:val="40"/>
        </w:rPr>
        <w:t> </w:t>
      </w:r>
      <w:r>
        <w:rPr/>
        <w:t>EC,</w:t>
      </w:r>
      <w:r>
        <w:rPr>
          <w:spacing w:val="40"/>
        </w:rPr>
        <w:t> </w:t>
      </w:r>
      <w:r>
        <w:rPr/>
        <w:t>another study</w:t>
      </w:r>
      <w:r>
        <w:rPr>
          <w:spacing w:val="-2"/>
        </w:rPr>
        <w:t> </w:t>
      </w:r>
      <w:r>
        <w:rPr/>
        <w:t>found that</w:t>
      </w:r>
      <w:r>
        <w:rPr>
          <w:spacing w:val="-1"/>
        </w:rPr>
        <w:t> </w:t>
      </w:r>
      <w:r>
        <w:rPr/>
        <w:t>only</w:t>
      </w:r>
      <w:r>
        <w:rPr>
          <w:spacing w:val="-2"/>
        </w:rPr>
        <w:t> </w:t>
      </w:r>
      <w:r>
        <w:rPr/>
        <w:t>67.6% of</w:t>
      </w:r>
      <w:r>
        <w:rPr>
          <w:spacing w:val="-1"/>
        </w:rPr>
        <w:t> </w:t>
      </w:r>
      <w:r>
        <w:rPr/>
        <w:t>men thought</w:t>
      </w:r>
      <w:r>
        <w:rPr>
          <w:spacing w:val="-1"/>
        </w:rPr>
        <w:t> </w:t>
      </w:r>
      <w:r>
        <w:rPr/>
        <w:t>that EC</w:t>
      </w:r>
      <w:r>
        <w:rPr>
          <w:spacing w:val="26"/>
        </w:rPr>
        <w:t> </w:t>
      </w:r>
      <w:r>
        <w:rPr/>
        <w:t>could in</w:t>
      </w:r>
      <w:r>
        <w:rPr>
          <w:spacing w:val="27"/>
        </w:rPr>
        <w:t> </w:t>
      </w:r>
      <w:r>
        <w:rPr/>
        <w:t>fact</w:t>
      </w:r>
      <w:r>
        <w:rPr>
          <w:spacing w:val="28"/>
        </w:rPr>
        <w:t> </w:t>
      </w:r>
      <w:r>
        <w:rPr/>
        <w:t>prevent</w:t>
      </w:r>
      <w:r>
        <w:rPr>
          <w:spacing w:val="26"/>
        </w:rPr>
        <w:t> </w:t>
      </w:r>
      <w:r>
        <w:rPr/>
        <w:t>a</w:t>
      </w:r>
      <w:r>
        <w:rPr>
          <w:spacing w:val="27"/>
        </w:rPr>
        <w:t> </w:t>
      </w:r>
      <w:r>
        <w:rPr/>
        <w:t>pregnancy (Nguyen &amp; Zaller, 2009). It is possible that by increasing men’s</w:t>
      </w:r>
      <w:r>
        <w:rPr>
          <w:spacing w:val="28"/>
        </w:rPr>
        <w:t> </w:t>
      </w:r>
      <w:r>
        <w:rPr/>
        <w:t>knowledge</w:t>
      </w:r>
      <w:r>
        <w:rPr>
          <w:spacing w:val="28"/>
        </w:rPr>
        <w:t> </w:t>
      </w:r>
      <w:r>
        <w:rPr/>
        <w:t>about</w:t>
      </w:r>
      <w:r>
        <w:rPr>
          <w:spacing w:val="29"/>
        </w:rPr>
        <w:t> </w:t>
      </w:r>
      <w:r>
        <w:rPr/>
        <w:t>EC</w:t>
      </w:r>
      <w:r>
        <w:rPr>
          <w:spacing w:val="27"/>
        </w:rPr>
        <w:t> </w:t>
      </w:r>
      <w:r>
        <w:rPr/>
        <w:t>facts, they may be better</w:t>
      </w:r>
      <w:r>
        <w:rPr>
          <w:spacing w:val="40"/>
        </w:rPr>
        <w:t> </w:t>
      </w:r>
      <w:r>
        <w:rPr/>
        <w:t>able</w:t>
      </w:r>
      <w:r>
        <w:rPr>
          <w:spacing w:val="40"/>
        </w:rPr>
        <w:t> </w:t>
      </w:r>
      <w:r>
        <w:rPr/>
        <w:t>to</w:t>
      </w:r>
      <w:r>
        <w:rPr>
          <w:spacing w:val="40"/>
        </w:rPr>
        <w:t> </w:t>
      </w:r>
      <w:r>
        <w:rPr/>
        <w:t>provide</w:t>
      </w:r>
      <w:r>
        <w:rPr>
          <w:spacing w:val="40"/>
        </w:rPr>
        <w:t> </w:t>
      </w:r>
      <w:r>
        <w:rPr/>
        <w:t>social</w:t>
      </w:r>
      <w:r>
        <w:rPr>
          <w:spacing w:val="40"/>
        </w:rPr>
        <w:t> </w:t>
      </w:r>
      <w:r>
        <w:rPr/>
        <w:t>support</w:t>
      </w:r>
      <w:r>
        <w:rPr>
          <w:spacing w:val="40"/>
        </w:rPr>
        <w:t> </w:t>
      </w:r>
      <w:r>
        <w:rPr/>
        <w:t>for</w:t>
      </w:r>
      <w:r>
        <w:rPr>
          <w:spacing w:val="40"/>
        </w:rPr>
        <w:t> </w:t>
      </w:r>
      <w:r>
        <w:rPr/>
        <w:t>their female partners to use EC, if needed.</w:t>
      </w:r>
    </w:p>
    <w:p>
      <w:pPr>
        <w:pStyle w:val="Heading1"/>
        <w:spacing w:before="253"/>
        <w:jc w:val="both"/>
      </w:pPr>
      <w:r>
        <w:rPr/>
        <w:t>The</w:t>
      </w:r>
      <w:r>
        <w:rPr>
          <w:spacing w:val="-3"/>
        </w:rPr>
        <w:t> </w:t>
      </w:r>
      <w:r>
        <w:rPr/>
        <w:t>Present</w:t>
      </w:r>
      <w:r>
        <w:rPr>
          <w:spacing w:val="-2"/>
        </w:rPr>
        <w:t> Study</w:t>
      </w:r>
    </w:p>
    <w:p>
      <w:pPr>
        <w:pStyle w:val="BodyText"/>
        <w:ind w:right="38"/>
        <w:jc w:val="both"/>
      </w:pPr>
      <w:r>
        <w:rPr/>
        <w:t>This study examined whether perceptions and knowledge regarding EC are associated with intentions to use EC among undergraduate student women, and men’s intentions to support their partner’s use of EC. It is important to examine EC use among female college students because the majority of them represent an age group (18-24 years) that is at highest risk for unintended pregnancies (</w:t>
      </w:r>
      <w:hyperlink r:id="rId7">
        <w:r>
          <w:rPr>
            <w:color w:val="0000FF"/>
            <w:u w:val="single" w:color="0000FF"/>
          </w:rPr>
          <w:t>Finer</w:t>
        </w:r>
      </w:hyperlink>
      <w:r>
        <w:rPr>
          <w:color w:val="0000FF"/>
          <w:u w:val="none"/>
        </w:rPr>
        <w:t> </w:t>
      </w:r>
      <w:r>
        <w:rPr>
          <w:u w:val="none"/>
        </w:rPr>
        <w:t>&amp;</w:t>
      </w:r>
      <w:hyperlink r:id="rId8">
        <w:r>
          <w:rPr>
            <w:color w:val="0000FF"/>
            <w:u w:val="single" w:color="0000FF"/>
          </w:rPr>
          <w:t> Zolna</w:t>
        </w:r>
        <w:r>
          <w:rPr>
            <w:u w:val="none"/>
          </w:rPr>
          <w:t>,</w:t>
        </w:r>
      </w:hyperlink>
      <w:r>
        <w:rPr>
          <w:u w:val="none"/>
        </w:rPr>
        <w:t> 2011). Furthermore, research is needed to determine whether college men are a feasible target population</w:t>
      </w:r>
      <w:r>
        <w:rPr>
          <w:spacing w:val="30"/>
          <w:u w:val="none"/>
        </w:rPr>
        <w:t> </w:t>
      </w:r>
      <w:r>
        <w:rPr>
          <w:u w:val="none"/>
        </w:rPr>
        <w:t>for</w:t>
      </w:r>
      <w:r>
        <w:rPr>
          <w:spacing w:val="30"/>
          <w:u w:val="none"/>
        </w:rPr>
        <w:t> </w:t>
      </w:r>
      <w:r>
        <w:rPr>
          <w:u w:val="none"/>
        </w:rPr>
        <w:t>pregnancy</w:t>
      </w:r>
      <w:r>
        <w:rPr>
          <w:spacing w:val="30"/>
          <w:u w:val="none"/>
        </w:rPr>
        <w:t> </w:t>
      </w:r>
      <w:r>
        <w:rPr>
          <w:u w:val="none"/>
        </w:rPr>
        <w:t>prevention</w:t>
      </w:r>
      <w:r>
        <w:rPr>
          <w:spacing w:val="31"/>
          <w:u w:val="none"/>
        </w:rPr>
        <w:t> </w:t>
      </w:r>
      <w:r>
        <w:rPr>
          <w:u w:val="none"/>
        </w:rPr>
        <w:t>efforts,</w:t>
      </w:r>
      <w:r>
        <w:rPr>
          <w:spacing w:val="30"/>
          <w:u w:val="none"/>
        </w:rPr>
        <w:t> </w:t>
      </w:r>
      <w:r>
        <w:rPr>
          <w:spacing w:val="-5"/>
          <w:u w:val="none"/>
        </w:rPr>
        <w:t>as</w:t>
      </w:r>
    </w:p>
    <w:p>
      <w:pPr>
        <w:pStyle w:val="BodyText"/>
        <w:spacing w:before="84"/>
        <w:ind w:left="120" w:right="115"/>
        <w:jc w:val="both"/>
      </w:pPr>
      <w:r>
        <w:rPr/>
        <w:br w:type="column"/>
      </w:r>
      <w:r>
        <w:rPr/>
        <w:t>Brindis and colleagues (2005) have found it to</w:t>
      </w:r>
      <w:r>
        <w:rPr>
          <w:spacing w:val="40"/>
        </w:rPr>
        <w:t> </w:t>
      </w:r>
      <w:r>
        <w:rPr/>
        <w:t>be the case among teenage males.</w:t>
      </w:r>
    </w:p>
    <w:p>
      <w:pPr>
        <w:pStyle w:val="Heading1"/>
        <w:spacing w:line="500" w:lineRule="atLeast" w:before="10"/>
        <w:ind w:right="1582" w:firstLine="1749"/>
        <w:jc w:val="both"/>
      </w:pPr>
      <w:r>
        <w:rPr>
          <w:spacing w:val="-2"/>
        </w:rPr>
        <w:t>Methods </w:t>
      </w:r>
      <w:r>
        <w:rPr/>
        <w:t>Study</w:t>
      </w:r>
      <w:r>
        <w:rPr>
          <w:spacing w:val="-12"/>
        </w:rPr>
        <w:t> </w:t>
      </w:r>
      <w:r>
        <w:rPr/>
        <w:t>Design</w:t>
      </w:r>
      <w:r>
        <w:rPr>
          <w:spacing w:val="-12"/>
        </w:rPr>
        <w:t> </w:t>
      </w:r>
      <w:r>
        <w:rPr/>
        <w:t>and</w:t>
      </w:r>
      <w:r>
        <w:rPr>
          <w:spacing w:val="-14"/>
        </w:rPr>
        <w:t> </w:t>
      </w:r>
      <w:r>
        <w:rPr/>
        <w:t>Participants</w:t>
      </w:r>
    </w:p>
    <w:p>
      <w:pPr>
        <w:pStyle w:val="BodyText"/>
        <w:spacing w:before="1"/>
        <w:ind w:left="120" w:right="112"/>
        <w:jc w:val="both"/>
      </w:pPr>
      <w:r>
        <w:rPr/>
        <w:t>This study utilized a quantitative, design with a convenience sample of southern California community college students who were enrolled in one of six personal health classes during the fall 2009 and spring 2010 semesters. Self-report surveys were administered to all eligible</w:t>
      </w:r>
      <w:r>
        <w:rPr>
          <w:spacing w:val="40"/>
        </w:rPr>
        <w:t> </w:t>
      </w:r>
      <w:r>
        <w:rPr/>
        <w:t>students (age 18 years and older) before any contraception information had been covered in the course curriculum. There were no sexual behavior-related exclusion criteria, since the main outcomes were intention-based and not behavior-based. For this reason, sexuality, current relationship status, and current sexual behavior</w:t>
      </w:r>
      <w:r>
        <w:rPr>
          <w:spacing w:val="-1"/>
        </w:rPr>
        <w:t> </w:t>
      </w:r>
      <w:r>
        <w:rPr/>
        <w:t>were</w:t>
      </w:r>
      <w:r>
        <w:rPr>
          <w:spacing w:val="-1"/>
        </w:rPr>
        <w:t> </w:t>
      </w:r>
      <w:r>
        <w:rPr/>
        <w:t>not</w:t>
      </w:r>
      <w:r>
        <w:rPr>
          <w:spacing w:val="-1"/>
        </w:rPr>
        <w:t> </w:t>
      </w:r>
      <w:r>
        <w:rPr/>
        <w:t>used</w:t>
      </w:r>
      <w:r>
        <w:rPr>
          <w:spacing w:val="-2"/>
        </w:rPr>
        <w:t> </w:t>
      </w:r>
      <w:r>
        <w:rPr/>
        <w:t>as</w:t>
      </w:r>
      <w:r>
        <w:rPr>
          <w:spacing w:val="-1"/>
        </w:rPr>
        <w:t> </w:t>
      </w:r>
      <w:r>
        <w:rPr/>
        <w:t>predictive</w:t>
      </w:r>
      <w:r>
        <w:rPr>
          <w:spacing w:val="-1"/>
        </w:rPr>
        <w:t> </w:t>
      </w:r>
      <w:r>
        <w:rPr/>
        <w:t>variables</w:t>
      </w:r>
      <w:r>
        <w:rPr>
          <w:spacing w:val="-1"/>
        </w:rPr>
        <w:t> </w:t>
      </w:r>
      <w:r>
        <w:rPr/>
        <w:t>to measure intentions to use EC (for women), and supporting one’s partner to use EC (for men). Out of the 216 individuals approached to participate in the study, 214 completed surveys for an overall response rate of 99% (100% for females and 98.3% for males).</w:t>
      </w:r>
    </w:p>
    <w:p>
      <w:pPr>
        <w:pStyle w:val="BodyText"/>
        <w:spacing w:before="4"/>
        <w:ind w:left="0"/>
      </w:pPr>
    </w:p>
    <w:p>
      <w:pPr>
        <w:pStyle w:val="Heading1"/>
      </w:pPr>
      <w:r>
        <w:rPr>
          <w:spacing w:val="-2"/>
        </w:rPr>
        <w:t>Procedures</w:t>
      </w:r>
    </w:p>
    <w:p>
      <w:pPr>
        <w:pStyle w:val="BodyText"/>
        <w:ind w:left="120" w:right="113"/>
        <w:jc w:val="both"/>
      </w:pPr>
      <w:r>
        <w:rPr/>
        <w:t>All procedures and instruments utilized in this study received IRB approval from the authors’ institution prior to implementation. Permission</w:t>
      </w:r>
      <w:r>
        <w:rPr>
          <w:spacing w:val="40"/>
        </w:rPr>
        <w:t> </w:t>
      </w:r>
      <w:r>
        <w:rPr/>
        <w:t>to administer surveys was obtained from the Physical Education and Athletics department at the junior college where the data were collected. Permission was also obtained from the course instructor to visit each of her personal health classes and administer surveys to her students during class time. Surveys were six pages in length with approximately 50 questions.</w:t>
      </w:r>
    </w:p>
    <w:p>
      <w:pPr>
        <w:pStyle w:val="BodyText"/>
        <w:spacing w:before="250"/>
        <w:ind w:left="120" w:right="114"/>
        <w:jc w:val="both"/>
      </w:pPr>
      <w:r>
        <w:rPr/>
        <w:t>The surveys were distributed and collected by the first author. All potential participants were briefed about the contents of the survey and given the opportunity to leave the classroom if they did not want to participate. All participants provided written informed consent, and were asked to fill out the survey on their own. The investigator stayed the entire time to answer any questions the participants may have had about the survey. Once a participant completed the survey,</w:t>
      </w:r>
      <w:r>
        <w:rPr>
          <w:spacing w:val="60"/>
        </w:rPr>
        <w:t> </w:t>
      </w:r>
      <w:r>
        <w:rPr/>
        <w:t>the</w:t>
      </w:r>
      <w:r>
        <w:rPr>
          <w:spacing w:val="59"/>
        </w:rPr>
        <w:t> </w:t>
      </w:r>
      <w:r>
        <w:rPr/>
        <w:t>investigator</w:t>
      </w:r>
      <w:r>
        <w:rPr>
          <w:spacing w:val="59"/>
        </w:rPr>
        <w:t> </w:t>
      </w:r>
      <w:r>
        <w:rPr/>
        <w:t>immediately</w:t>
      </w:r>
      <w:r>
        <w:rPr>
          <w:spacing w:val="59"/>
        </w:rPr>
        <w:t> </w:t>
      </w:r>
      <w:r>
        <w:rPr>
          <w:spacing w:val="-2"/>
        </w:rPr>
        <w:t>collected</w:t>
      </w:r>
    </w:p>
    <w:p>
      <w:pPr>
        <w:spacing w:after="0"/>
        <w:jc w:val="both"/>
        <w:sectPr>
          <w:pgSz w:w="12240" w:h="15840"/>
          <w:pgMar w:header="699" w:footer="794" w:top="1340" w:bottom="980" w:left="1320" w:right="1320"/>
          <w:cols w:num="2" w:equalWidth="0">
            <w:col w:w="4484" w:space="556"/>
            <w:col w:w="4560"/>
          </w:cols>
        </w:sectPr>
      </w:pPr>
    </w:p>
    <w:p>
      <w:pPr>
        <w:pStyle w:val="BodyText"/>
        <w:spacing w:before="84"/>
        <w:ind w:left="120" w:right="42"/>
        <w:jc w:val="both"/>
      </w:pPr>
      <w:r>
        <w:rPr/>
        <w:t>the survey and the participant left the classroom. No incentive was given for participation.</w:t>
      </w:r>
    </w:p>
    <w:p>
      <w:pPr>
        <w:pStyle w:val="BodyText"/>
        <w:spacing w:before="4"/>
        <w:ind w:left="0"/>
      </w:pPr>
    </w:p>
    <w:p>
      <w:pPr>
        <w:pStyle w:val="Heading1"/>
        <w:spacing w:line="251" w:lineRule="exact"/>
      </w:pPr>
      <w:r>
        <w:rPr>
          <w:spacing w:val="-2"/>
        </w:rPr>
        <w:t>Measures</w:t>
      </w:r>
    </w:p>
    <w:p>
      <w:pPr>
        <w:pStyle w:val="BodyText"/>
        <w:ind w:left="120" w:right="39"/>
        <w:jc w:val="both"/>
      </w:pPr>
      <w:r>
        <w:rPr/>
        <w:t>The independent variables were knowledge of EC, perceptions about EC, and past experiences with pregnancy, while the dependent variables were intentions to use EC (for women) and intentions to support partner’s use of EC (for </w:t>
      </w:r>
      <w:r>
        <w:rPr>
          <w:spacing w:val="-2"/>
        </w:rPr>
        <w:t>men).</w:t>
      </w:r>
    </w:p>
    <w:p>
      <w:pPr>
        <w:pStyle w:val="BodyText"/>
        <w:spacing w:before="249"/>
        <w:ind w:right="38"/>
        <w:jc w:val="both"/>
      </w:pPr>
      <w:r>
        <w:rPr>
          <w:b/>
        </w:rPr>
        <w:t>Knowledge of EC. </w:t>
      </w:r>
      <w:r>
        <w:rPr/>
        <w:t>Knowledge of EC items</w:t>
      </w:r>
      <w:r>
        <w:rPr>
          <w:spacing w:val="40"/>
        </w:rPr>
        <w:t> </w:t>
      </w:r>
      <w:r>
        <w:rPr/>
        <w:t>were adopted from Vahratian, Patel, Wolff, and Xu</w:t>
      </w:r>
      <w:r>
        <w:rPr>
          <w:spacing w:val="-2"/>
        </w:rPr>
        <w:t> </w:t>
      </w:r>
      <w:r>
        <w:rPr/>
        <w:t>(2008) and Hickey</w:t>
      </w:r>
      <w:r>
        <w:rPr>
          <w:spacing w:val="-2"/>
        </w:rPr>
        <w:t> </w:t>
      </w:r>
      <w:r>
        <w:rPr/>
        <w:t>(2009).</w:t>
      </w:r>
      <w:r>
        <w:rPr>
          <w:spacing w:val="-2"/>
        </w:rPr>
        <w:t> </w:t>
      </w:r>
      <w:r>
        <w:rPr/>
        <w:t>They</w:t>
      </w:r>
      <w:r>
        <w:rPr>
          <w:spacing w:val="-2"/>
        </w:rPr>
        <w:t> </w:t>
      </w:r>
      <w:r>
        <w:rPr/>
        <w:t>consisted of six multiple choice questions including: “How long after unprotected vaginal intercourse does emergency contraception remain effective”</w:t>
      </w:r>
      <w:r>
        <w:rPr>
          <w:spacing w:val="80"/>
        </w:rPr>
        <w:t> </w:t>
      </w:r>
      <w:r>
        <w:rPr/>
        <w:t>(with five possible response options ranging from “1day” to “5 days”); and “What is the difference between emergency contraception (plan B) and RU-486 (mifepristone) the</w:t>
      </w:r>
      <w:r>
        <w:rPr>
          <w:spacing w:val="40"/>
        </w:rPr>
        <w:t> </w:t>
      </w:r>
      <w:r>
        <w:rPr/>
        <w:t>‘abortion pill?” Response options to the second question were: “There is no difference”, “EC is taken only before a pregnancy has occurred and RU-486 is taken after pregnancy has occurred”, “They can both terminate an already existing pregnancy”, and “Neither RU-486 nor EC require a prescription, they are both over the counter.” In addition, the following questions were asked: “Can you get emergency contraception pills or the ‘morning after pill’ over the counter from your drug store</w:t>
      </w:r>
      <w:r>
        <w:rPr>
          <w:spacing w:val="40"/>
        </w:rPr>
        <w:t> </w:t>
      </w:r>
      <w:r>
        <w:rPr/>
        <w:t>pharmacist without phoning or seeing the doctor first?”;</w:t>
      </w:r>
      <w:r>
        <w:rPr>
          <w:spacing w:val="-5"/>
        </w:rPr>
        <w:t> </w:t>
      </w:r>
      <w:r>
        <w:rPr/>
        <w:t>“Can</w:t>
      </w:r>
      <w:r>
        <w:rPr>
          <w:spacing w:val="-3"/>
        </w:rPr>
        <w:t> </w:t>
      </w:r>
      <w:r>
        <w:rPr/>
        <w:t>you</w:t>
      </w:r>
      <w:r>
        <w:rPr>
          <w:spacing w:val="-3"/>
        </w:rPr>
        <w:t> </w:t>
      </w:r>
      <w:r>
        <w:rPr/>
        <w:t>obtain</w:t>
      </w:r>
      <w:r>
        <w:rPr>
          <w:spacing w:val="-3"/>
        </w:rPr>
        <w:t> </w:t>
      </w:r>
      <w:r>
        <w:rPr/>
        <w:t>EC</w:t>
      </w:r>
      <w:r>
        <w:rPr>
          <w:spacing w:val="-6"/>
        </w:rPr>
        <w:t> </w:t>
      </w:r>
      <w:r>
        <w:rPr/>
        <w:t>over</w:t>
      </w:r>
      <w:r>
        <w:rPr>
          <w:spacing w:val="-2"/>
        </w:rPr>
        <w:t> </w:t>
      </w:r>
      <w:r>
        <w:rPr/>
        <w:t>the</w:t>
      </w:r>
      <w:r>
        <w:rPr>
          <w:spacing w:val="-3"/>
        </w:rPr>
        <w:t> </w:t>
      </w:r>
      <w:r>
        <w:rPr/>
        <w:t>age</w:t>
      </w:r>
      <w:r>
        <w:rPr>
          <w:spacing w:val="-3"/>
        </w:rPr>
        <w:t> </w:t>
      </w:r>
      <w:r>
        <w:rPr/>
        <w:t>of</w:t>
      </w:r>
      <w:r>
        <w:rPr>
          <w:spacing w:val="-2"/>
        </w:rPr>
        <w:t> </w:t>
      </w:r>
      <w:r>
        <w:rPr/>
        <w:t>17</w:t>
      </w:r>
      <w:r>
        <w:rPr>
          <w:spacing w:val="-3"/>
        </w:rPr>
        <w:t> </w:t>
      </w:r>
      <w:r>
        <w:rPr/>
        <w:t>in the state of California?”; “Can you obtain EC in any pharmacy in California?”; and “Is another person legally allowed to purchase EC for you,</w:t>
      </w:r>
      <w:r>
        <w:rPr>
          <w:spacing w:val="40"/>
        </w:rPr>
        <w:t> </w:t>
      </w:r>
      <w:r>
        <w:rPr/>
        <w:t>if needed?” Possible answers to these questions were “yes” and “no.”</w:t>
      </w:r>
    </w:p>
    <w:p>
      <w:pPr>
        <w:pStyle w:val="BodyText"/>
        <w:spacing w:before="252"/>
        <w:ind w:right="38"/>
        <w:jc w:val="both"/>
      </w:pPr>
      <w:r>
        <w:rPr>
          <w:b/>
        </w:rPr>
        <w:t>Perceptions about EC. </w:t>
      </w:r>
      <w:r>
        <w:rPr/>
        <w:t>These items were adapted from the Affective Responses toward Contraception Topics and Behavior Scale (Kelley, 1998). We adapted six of the items to specifically assess EC use perceptions. They were the following: “I feel emergency contraception use is morally wrong”,</w:t>
      </w:r>
      <w:r>
        <w:rPr>
          <w:spacing w:val="40"/>
        </w:rPr>
        <w:t> </w:t>
      </w:r>
      <w:r>
        <w:rPr/>
        <w:t>“Using emergency</w:t>
      </w:r>
      <w:r>
        <w:rPr>
          <w:spacing w:val="-8"/>
        </w:rPr>
        <w:t> </w:t>
      </w:r>
      <w:r>
        <w:rPr/>
        <w:t>contraception</w:t>
      </w:r>
      <w:r>
        <w:rPr>
          <w:spacing w:val="-8"/>
        </w:rPr>
        <w:t> </w:t>
      </w:r>
      <w:r>
        <w:rPr/>
        <w:t>is</w:t>
      </w:r>
      <w:r>
        <w:rPr>
          <w:spacing w:val="-7"/>
        </w:rPr>
        <w:t> </w:t>
      </w:r>
      <w:r>
        <w:rPr/>
        <w:t>much</w:t>
      </w:r>
      <w:r>
        <w:rPr>
          <w:spacing w:val="-4"/>
        </w:rPr>
        <w:t> </w:t>
      </w:r>
      <w:r>
        <w:rPr/>
        <w:t>more</w:t>
      </w:r>
      <w:r>
        <w:rPr>
          <w:spacing w:val="-6"/>
        </w:rPr>
        <w:t> </w:t>
      </w:r>
      <w:r>
        <w:rPr/>
        <w:t>desirable than having an abortion”, “Emergency contraception encourages promiscuity”, “Emergency</w:t>
      </w:r>
      <w:r>
        <w:rPr>
          <w:spacing w:val="22"/>
        </w:rPr>
        <w:t> </w:t>
      </w:r>
      <w:r>
        <w:rPr/>
        <w:t>contraception</w:t>
      </w:r>
      <w:r>
        <w:rPr>
          <w:spacing w:val="22"/>
        </w:rPr>
        <w:t> </w:t>
      </w:r>
      <w:r>
        <w:rPr/>
        <w:t>is</w:t>
      </w:r>
      <w:r>
        <w:rPr>
          <w:spacing w:val="25"/>
        </w:rPr>
        <w:t> </w:t>
      </w:r>
      <w:r>
        <w:rPr/>
        <w:t>worth</w:t>
      </w:r>
      <w:r>
        <w:rPr>
          <w:spacing w:val="24"/>
        </w:rPr>
        <w:t> </w:t>
      </w:r>
      <w:r>
        <w:rPr/>
        <w:t>using,</w:t>
      </w:r>
      <w:r>
        <w:rPr>
          <w:spacing w:val="24"/>
        </w:rPr>
        <w:t> </w:t>
      </w:r>
      <w:r>
        <w:rPr>
          <w:spacing w:val="-4"/>
        </w:rPr>
        <w:t>even</w:t>
      </w:r>
    </w:p>
    <w:p>
      <w:pPr>
        <w:pStyle w:val="BodyText"/>
        <w:spacing w:before="81"/>
        <w:ind w:right="114"/>
        <w:jc w:val="both"/>
      </w:pPr>
      <w:r>
        <w:rPr/>
        <w:br w:type="column"/>
      </w:r>
      <w:r>
        <w:rPr/>
        <w:t>if the monetary cost is high”, “Teenagers should not need permission from their parents to obtain emergency contraception”, and “Females who use emergency contraception are promiscuous.” All of these items had the response options of “strongly agree”, “agree”, “undecided”, “disagree”, and “strongly disagree.” Cronbach’s alpha was .61 for these items.</w:t>
      </w:r>
    </w:p>
    <w:p>
      <w:pPr>
        <w:pStyle w:val="BodyText"/>
        <w:spacing w:before="5"/>
        <w:ind w:left="0"/>
      </w:pPr>
    </w:p>
    <w:p>
      <w:pPr>
        <w:pStyle w:val="BodyText"/>
        <w:ind w:right="115"/>
        <w:jc w:val="both"/>
      </w:pPr>
      <w:r>
        <w:rPr>
          <w:b/>
        </w:rPr>
        <w:t>Past Experiences with Sexual Intercourse, Pregnancy and Contraception Use. </w:t>
      </w:r>
      <w:r>
        <w:rPr/>
        <w:t>Participants were asked the following: “Have you ever had vaginal intercourse (penis inserted into a vagina)”, “have you (or a partner) ever been</w:t>
      </w:r>
      <w:r>
        <w:rPr>
          <w:spacing w:val="-4"/>
        </w:rPr>
        <w:t> </w:t>
      </w:r>
      <w:r>
        <w:rPr/>
        <w:t>pregnant”</w:t>
      </w:r>
      <w:r>
        <w:rPr>
          <w:spacing w:val="-4"/>
        </w:rPr>
        <w:t> </w:t>
      </w:r>
      <w:r>
        <w:rPr/>
        <w:t>and</w:t>
      </w:r>
      <w:r>
        <w:rPr>
          <w:spacing w:val="-4"/>
        </w:rPr>
        <w:t> </w:t>
      </w:r>
      <w:r>
        <w:rPr/>
        <w:t>“have</w:t>
      </w:r>
      <w:r>
        <w:rPr>
          <w:spacing w:val="-4"/>
        </w:rPr>
        <w:t> </w:t>
      </w:r>
      <w:r>
        <w:rPr/>
        <w:t>you</w:t>
      </w:r>
      <w:r>
        <w:rPr>
          <w:spacing w:val="-4"/>
        </w:rPr>
        <w:t> </w:t>
      </w:r>
      <w:r>
        <w:rPr/>
        <w:t>(or</w:t>
      </w:r>
      <w:r>
        <w:rPr>
          <w:spacing w:val="-3"/>
        </w:rPr>
        <w:t> </w:t>
      </w:r>
      <w:r>
        <w:rPr/>
        <w:t>a</w:t>
      </w:r>
      <w:r>
        <w:rPr>
          <w:spacing w:val="-4"/>
        </w:rPr>
        <w:t> </w:t>
      </w:r>
      <w:r>
        <w:rPr/>
        <w:t>partner)</w:t>
      </w:r>
      <w:r>
        <w:rPr>
          <w:spacing w:val="-3"/>
        </w:rPr>
        <w:t> </w:t>
      </w:r>
      <w:r>
        <w:rPr/>
        <w:t>ever used emergency contraception”, and “have you (or a partner) ever had or experienced an abortion”, with the response options of “yes”</w:t>
      </w:r>
      <w:r>
        <w:rPr>
          <w:spacing w:val="40"/>
        </w:rPr>
        <w:t> </w:t>
      </w:r>
      <w:r>
        <w:rPr/>
        <w:t>and “no” for all of these items. Survey items were adapted from the National Longitudinal Study of Adolescent Health, Waves 1 and 2 (Udry, 2003).</w:t>
      </w:r>
    </w:p>
    <w:p>
      <w:pPr>
        <w:pStyle w:val="BodyText"/>
        <w:spacing w:before="251"/>
        <w:ind w:right="114"/>
        <w:jc w:val="both"/>
      </w:pPr>
      <w:r>
        <w:rPr>
          <w:b/>
        </w:rPr>
        <w:t>Intention to Use EC/Support Partner to Use EC. </w:t>
      </w:r>
      <w:r>
        <w:rPr/>
        <w:t>Intention to use EC was the nt variable for females in this study, while intention to support one’s partner to use EC was the dependent variable for males. The question that was asked of</w:t>
      </w:r>
      <w:r>
        <w:rPr>
          <w:spacing w:val="-4"/>
        </w:rPr>
        <w:t> </w:t>
      </w:r>
      <w:r>
        <w:rPr/>
        <w:t>females</w:t>
      </w:r>
      <w:r>
        <w:rPr>
          <w:spacing w:val="-4"/>
        </w:rPr>
        <w:t> </w:t>
      </w:r>
      <w:r>
        <w:rPr/>
        <w:t>was,</w:t>
      </w:r>
      <w:r>
        <w:rPr>
          <w:spacing w:val="-4"/>
        </w:rPr>
        <w:t> </w:t>
      </w:r>
      <w:r>
        <w:rPr/>
        <w:t>“Would</w:t>
      </w:r>
      <w:r>
        <w:rPr>
          <w:spacing w:val="-4"/>
        </w:rPr>
        <w:t> </w:t>
      </w:r>
      <w:r>
        <w:rPr/>
        <w:t>you</w:t>
      </w:r>
      <w:r>
        <w:rPr>
          <w:spacing w:val="-4"/>
        </w:rPr>
        <w:t> </w:t>
      </w:r>
      <w:r>
        <w:rPr/>
        <w:t>ever</w:t>
      </w:r>
      <w:r>
        <w:rPr>
          <w:spacing w:val="-4"/>
        </w:rPr>
        <w:t> </w:t>
      </w:r>
      <w:r>
        <w:rPr/>
        <w:t>use</w:t>
      </w:r>
      <w:r>
        <w:rPr>
          <w:spacing w:val="-4"/>
        </w:rPr>
        <w:t> </w:t>
      </w:r>
      <w:r>
        <w:rPr/>
        <w:t>emergency contraception or the ‘morning after pill’ if your first method of birth control failed?” The question that was asked of males was, “Would you encourage your partner to use emergency contraception or the ‘morning after pill’ if your first method of birth control failed?” Both questions had answers of “yes” and “no.”</w:t>
      </w:r>
      <w:r>
        <w:rPr>
          <w:spacing w:val="40"/>
        </w:rPr>
        <w:t> </w:t>
      </w:r>
      <w:r>
        <w:rPr/>
        <w:t>The first item was adapted from Vahratian, Patel, Wolff, and Xu (2008), and we created the</w:t>
      </w:r>
      <w:r>
        <w:rPr>
          <w:spacing w:val="40"/>
        </w:rPr>
        <w:t> </w:t>
      </w:r>
      <w:r>
        <w:rPr/>
        <w:t>second item to assess men’s intentions to</w:t>
      </w:r>
      <w:r>
        <w:rPr>
          <w:spacing w:val="40"/>
        </w:rPr>
        <w:t> </w:t>
      </w:r>
      <w:r>
        <w:rPr/>
        <w:t>support EC use.</w:t>
      </w:r>
    </w:p>
    <w:p>
      <w:pPr>
        <w:pStyle w:val="BodyText"/>
        <w:spacing w:before="249"/>
        <w:ind w:right="112"/>
        <w:jc w:val="both"/>
      </w:pPr>
      <w:r>
        <w:rPr>
          <w:b/>
        </w:rPr>
        <w:t>Demographic Characteristics. </w:t>
      </w:r>
      <w:r>
        <w:rPr/>
        <w:t>Demographic characteristics included age, ethnicity, major (or desired major), grade point average (GPA), parents’ highest level of completed education, religious affiliation, and class standing (freshman, sophomore, or higher).</w:t>
      </w:r>
    </w:p>
    <w:p>
      <w:pPr>
        <w:pStyle w:val="BodyText"/>
        <w:spacing w:before="4"/>
        <w:ind w:left="0"/>
      </w:pPr>
    </w:p>
    <w:p>
      <w:pPr>
        <w:pStyle w:val="Heading1"/>
        <w:ind w:left="119"/>
      </w:pPr>
      <w:r>
        <w:rPr>
          <w:spacing w:val="-2"/>
        </w:rPr>
        <w:t>Analyses</w:t>
      </w:r>
    </w:p>
    <w:p>
      <w:pPr>
        <w:pStyle w:val="BodyText"/>
      </w:pPr>
      <w:r>
        <w:rPr/>
        <w:t>All</w:t>
      </w:r>
      <w:r>
        <w:rPr>
          <w:spacing w:val="40"/>
        </w:rPr>
        <w:t> </w:t>
      </w:r>
      <w:r>
        <w:rPr/>
        <w:t>surveys</w:t>
      </w:r>
      <w:r>
        <w:rPr>
          <w:spacing w:val="40"/>
        </w:rPr>
        <w:t> </w:t>
      </w:r>
      <w:r>
        <w:rPr/>
        <w:t>were</w:t>
      </w:r>
      <w:r>
        <w:rPr>
          <w:spacing w:val="40"/>
        </w:rPr>
        <w:t> </w:t>
      </w:r>
      <w:r>
        <w:rPr/>
        <w:t>entered</w:t>
      </w:r>
      <w:r>
        <w:rPr>
          <w:spacing w:val="40"/>
        </w:rPr>
        <w:t> </w:t>
      </w:r>
      <w:r>
        <w:rPr/>
        <w:t>and</w:t>
      </w:r>
      <w:r>
        <w:rPr>
          <w:spacing w:val="40"/>
        </w:rPr>
        <w:t> </w:t>
      </w:r>
      <w:r>
        <w:rPr/>
        <w:t>analyzed</w:t>
      </w:r>
      <w:r>
        <w:rPr>
          <w:spacing w:val="40"/>
        </w:rPr>
        <w:t> </w:t>
      </w:r>
      <w:r>
        <w:rPr/>
        <w:t>using SPSS version 20.0 (IBM Inc., 2011).</w:t>
      </w:r>
    </w:p>
    <w:p>
      <w:pPr>
        <w:spacing w:after="0"/>
        <w:sectPr>
          <w:pgSz w:w="12240" w:h="15840"/>
          <w:pgMar w:header="699" w:footer="794" w:top="1340" w:bottom="980" w:left="1320" w:right="1320"/>
          <w:cols w:num="2" w:equalWidth="0">
            <w:col w:w="4485" w:space="555"/>
            <w:col w:w="4560"/>
          </w:cols>
        </w:sectPr>
      </w:pPr>
    </w:p>
    <w:p>
      <w:pPr>
        <w:pStyle w:val="BodyText"/>
        <w:spacing w:before="83"/>
        <w:ind w:left="0"/>
      </w:pPr>
    </w:p>
    <w:p>
      <w:pPr>
        <w:pStyle w:val="BodyText"/>
        <w:ind w:left="120" w:right="38"/>
        <w:jc w:val="both"/>
      </w:pPr>
      <w:r>
        <w:rPr>
          <w:b/>
        </w:rPr>
        <w:t>Descriptive Statistics. </w:t>
      </w:r>
      <w:r>
        <w:rPr/>
        <w:t>Descriptive statistics were stratified by gender and included all demographic variables, independent variables, and dependent variables. Chi-square tests and t- tests were calculated to determine whether there were any gender differences on any of these </w:t>
      </w:r>
      <w:r>
        <w:rPr>
          <w:spacing w:val="-2"/>
        </w:rPr>
        <w:t>variables.</w:t>
      </w:r>
    </w:p>
    <w:p>
      <w:pPr>
        <w:pStyle w:val="BodyText"/>
        <w:spacing w:before="1"/>
        <w:ind w:left="0"/>
      </w:pPr>
    </w:p>
    <w:p>
      <w:pPr>
        <w:pStyle w:val="BodyText"/>
        <w:ind w:left="120" w:right="38"/>
        <w:jc w:val="both"/>
      </w:pPr>
      <w:r>
        <w:rPr>
          <w:b/>
        </w:rPr>
        <w:t>Inferential Statistics. </w:t>
      </w:r>
      <w:r>
        <w:rPr/>
        <w:t>Inferential statistics were calculated to assess the relationship between each of the independent variables and the dependent variable, for each gender separately. Specifically, bivariate logistic</w:t>
      </w:r>
      <w:r>
        <w:rPr>
          <w:spacing w:val="-1"/>
        </w:rPr>
        <w:t> </w:t>
      </w:r>
      <w:r>
        <w:rPr/>
        <w:t>regression models were run to assess the extent to which each knowledge item, each perception item, past experiences with pregnancy, contraception use, and all demographic variables, were related to intentions to use EC for females and support of EC for males. We chose the strategy of</w:t>
      </w:r>
      <w:r>
        <w:rPr>
          <w:spacing w:val="40"/>
        </w:rPr>
        <w:t> </w:t>
      </w:r>
      <w:r>
        <w:rPr/>
        <w:t>analyzing individual items rather than entire scales because in preliminary analyses, entire scale scores were not associated with the study outcomes.</w:t>
      </w:r>
      <w:r>
        <w:rPr>
          <w:spacing w:val="40"/>
        </w:rPr>
        <w:t> </w:t>
      </w:r>
      <w:r>
        <w:rPr/>
        <w:t>Last, two multivariate logistic regression models were performed, one for each gender separately, to determine which of the predictors and demographic variables that were significant in the bivariate analyses remained significant in multivariate analyses.</w:t>
      </w:r>
    </w:p>
    <w:p>
      <w:pPr>
        <w:pStyle w:val="BodyText"/>
        <w:spacing w:before="3"/>
        <w:ind w:left="0"/>
      </w:pPr>
    </w:p>
    <w:p>
      <w:pPr>
        <w:pStyle w:val="Heading1"/>
        <w:spacing w:line="240" w:lineRule="auto"/>
        <w:ind w:left="78" w:right="3"/>
        <w:jc w:val="center"/>
      </w:pPr>
      <w:r>
        <w:rPr>
          <w:spacing w:val="-2"/>
        </w:rPr>
        <w:t>Results</w:t>
      </w:r>
    </w:p>
    <w:p>
      <w:pPr>
        <w:pStyle w:val="BodyText"/>
        <w:spacing w:before="248"/>
        <w:ind w:right="39"/>
        <w:jc w:val="both"/>
      </w:pPr>
      <w:r>
        <w:rPr/>
        <w:t>Results are presented for females first, followed by males.</w:t>
      </w:r>
    </w:p>
    <w:p>
      <w:pPr>
        <w:pStyle w:val="BodyText"/>
        <w:spacing w:before="4"/>
        <w:ind w:left="0"/>
      </w:pPr>
    </w:p>
    <w:p>
      <w:pPr>
        <w:pStyle w:val="Heading1"/>
        <w:spacing w:line="251" w:lineRule="exact" w:before="1"/>
        <w:ind w:left="119"/>
      </w:pPr>
      <w:r>
        <w:rPr>
          <w:spacing w:val="-2"/>
        </w:rPr>
        <w:t>Females</w:t>
      </w:r>
    </w:p>
    <w:p>
      <w:pPr>
        <w:pStyle w:val="BodyText"/>
        <w:ind w:right="38"/>
        <w:jc w:val="both"/>
      </w:pPr>
      <w:r>
        <w:rPr/>
        <w:t>Table 1 displays descriptive statistics of the sample. Among the 96 females, most were</w:t>
      </w:r>
      <w:r>
        <w:rPr>
          <w:spacing w:val="40"/>
        </w:rPr>
        <w:t> </w:t>
      </w:r>
      <w:r>
        <w:rPr/>
        <w:t>White (55.4%) and freshmen (37.9%). Average age was 22.35 (SD= 7.23). Nearly three-fourths of the females (73.4%) claimed they had penile- vaginal intercourse in their lifetime, and of</w:t>
      </w:r>
      <w:r>
        <w:rPr>
          <w:spacing w:val="40"/>
        </w:rPr>
        <w:t> </w:t>
      </w:r>
      <w:r>
        <w:rPr/>
        <w:t>those, 40.0% had used EC. Of those who reported using EC, the most common reason for doing so was “no birth control” (34.2%) and “condom slipped or broke off” (26.3%). Approximately</w:t>
      </w:r>
      <w:r>
        <w:rPr>
          <w:spacing w:val="-3"/>
        </w:rPr>
        <w:t> </w:t>
      </w:r>
      <w:r>
        <w:rPr/>
        <w:t>one in</w:t>
      </w:r>
      <w:r>
        <w:rPr>
          <w:spacing w:val="-3"/>
        </w:rPr>
        <w:t> </w:t>
      </w:r>
      <w:r>
        <w:rPr/>
        <w:t>eight</w:t>
      </w:r>
      <w:r>
        <w:rPr>
          <w:spacing w:val="-2"/>
        </w:rPr>
        <w:t> </w:t>
      </w:r>
      <w:r>
        <w:rPr/>
        <w:t>participants</w:t>
      </w:r>
      <w:r>
        <w:rPr>
          <w:spacing w:val="-2"/>
        </w:rPr>
        <w:t> </w:t>
      </w:r>
      <w:r>
        <w:rPr/>
        <w:t>reported unplanned pregnancies (12.8%), and nearly one in ten (9.5%) had at least one abortion. Compared to the male sample in this study, the female</w:t>
      </w:r>
      <w:r>
        <w:rPr>
          <w:spacing w:val="24"/>
        </w:rPr>
        <w:t> </w:t>
      </w:r>
      <w:r>
        <w:rPr/>
        <w:t>sample</w:t>
      </w:r>
      <w:r>
        <w:rPr>
          <w:spacing w:val="24"/>
        </w:rPr>
        <w:t> </w:t>
      </w:r>
      <w:r>
        <w:rPr/>
        <w:t>was</w:t>
      </w:r>
      <w:r>
        <w:rPr>
          <w:spacing w:val="23"/>
        </w:rPr>
        <w:t> </w:t>
      </w:r>
      <w:r>
        <w:rPr/>
        <w:t>significantly</w:t>
      </w:r>
      <w:r>
        <w:rPr>
          <w:spacing w:val="22"/>
        </w:rPr>
        <w:t> </w:t>
      </w:r>
      <w:r>
        <w:rPr/>
        <w:t>older</w:t>
      </w:r>
      <w:r>
        <w:rPr>
          <w:spacing w:val="22"/>
        </w:rPr>
        <w:t> </w:t>
      </w:r>
      <w:r>
        <w:rPr/>
        <w:t>(</w:t>
      </w:r>
      <w:r>
        <w:rPr>
          <w:i/>
        </w:rPr>
        <w:t>p</w:t>
      </w:r>
      <w:r>
        <w:rPr/>
        <w:t>&lt;</w:t>
      </w:r>
      <w:r>
        <w:rPr>
          <w:spacing w:val="24"/>
        </w:rPr>
        <w:t> </w:t>
      </w:r>
      <w:r>
        <w:rPr>
          <w:spacing w:val="-4"/>
        </w:rPr>
        <w:t>.01),</w:t>
      </w:r>
    </w:p>
    <w:p>
      <w:pPr>
        <w:pStyle w:val="BodyText"/>
        <w:spacing w:before="81"/>
        <w:ind w:left="120" w:right="113"/>
        <w:jc w:val="both"/>
      </w:pPr>
      <w:r>
        <w:rPr/>
        <w:br w:type="column"/>
      </w:r>
      <w:r>
        <w:rPr/>
        <w:t>had a</w:t>
      </w:r>
      <w:r>
        <w:rPr>
          <w:spacing w:val="-1"/>
        </w:rPr>
        <w:t> </w:t>
      </w:r>
      <w:r>
        <w:rPr/>
        <w:t>higher percentage of</w:t>
      </w:r>
      <w:r>
        <w:rPr>
          <w:spacing w:val="-1"/>
        </w:rPr>
        <w:t> </w:t>
      </w:r>
      <w:r>
        <w:rPr/>
        <w:t>freshmen and</w:t>
      </w:r>
      <w:r>
        <w:rPr>
          <w:spacing w:val="-2"/>
        </w:rPr>
        <w:t> </w:t>
      </w:r>
      <w:r>
        <w:rPr/>
        <w:t>a</w:t>
      </w:r>
      <w:r>
        <w:rPr>
          <w:spacing w:val="-1"/>
        </w:rPr>
        <w:t> </w:t>
      </w:r>
      <w:r>
        <w:rPr/>
        <w:t>lower percentage of sophomores (</w:t>
      </w:r>
      <w:r>
        <w:rPr>
          <w:i/>
        </w:rPr>
        <w:t>p</w:t>
      </w:r>
      <w:r>
        <w:rPr/>
        <w:t>&lt; .01), and lower rates of EC use (versus males’ partners using EC) (</w:t>
      </w:r>
      <w:r>
        <w:rPr>
          <w:i/>
        </w:rPr>
        <w:t>p</w:t>
      </w:r>
      <w:r>
        <w:rPr/>
        <w:t>&lt; .05). See Table 1 for further details.</w:t>
      </w:r>
    </w:p>
    <w:p>
      <w:pPr>
        <w:pStyle w:val="BodyText"/>
        <w:ind w:left="0"/>
      </w:pPr>
    </w:p>
    <w:p>
      <w:pPr>
        <w:pStyle w:val="BodyText"/>
        <w:ind w:left="120" w:right="114"/>
        <w:jc w:val="both"/>
      </w:pPr>
      <w:r>
        <w:rPr/>
        <w:t>Table 2 displays bivariate and multivariate logistic regression results for EC use intentions. This table only includes those predictor</w:t>
      </w:r>
      <w:r>
        <w:rPr>
          <w:spacing w:val="80"/>
        </w:rPr>
        <w:t> </w:t>
      </w:r>
      <w:r>
        <w:rPr/>
        <w:t>variables that were significantly associated with at least one outcome (EC use intentions for females or support for partner’s EC use among men) in bivariate analyses. Among females, knowing that EC can be purchased without a prescription in California, (</w:t>
      </w:r>
      <w:r>
        <w:rPr>
          <w:i/>
        </w:rPr>
        <w:t>p</w:t>
      </w:r>
      <w:r>
        <w:rPr/>
        <w:t>&lt; 0.01), the belief that EC is worth using even if the monetary cost is high (</w:t>
      </w:r>
      <w:r>
        <w:rPr>
          <w:i/>
        </w:rPr>
        <w:t>p</w:t>
      </w:r>
      <w:r>
        <w:rPr/>
        <w:t>&lt; .001), and past EC use (</w:t>
      </w:r>
      <w:r>
        <w:rPr>
          <w:i/>
        </w:rPr>
        <w:t>p</w:t>
      </w:r>
      <w:r>
        <w:rPr/>
        <w:t>&lt; 0.05)</w:t>
      </w:r>
      <w:r>
        <w:rPr>
          <w:spacing w:val="40"/>
        </w:rPr>
        <w:t> </w:t>
      </w:r>
      <w:r>
        <w:rPr/>
        <w:t>were associated with higher rates of intention to use EC. Conversely, the belief that EC is</w:t>
      </w:r>
      <w:r>
        <w:rPr>
          <w:spacing w:val="40"/>
        </w:rPr>
        <w:t> </w:t>
      </w:r>
      <w:r>
        <w:rPr/>
        <w:t>morally wrong (</w:t>
      </w:r>
      <w:r>
        <w:rPr>
          <w:i/>
        </w:rPr>
        <w:t>p</w:t>
      </w:r>
      <w:r>
        <w:rPr/>
        <w:t>&lt; .0001) and having had an abortion previously (</w:t>
      </w:r>
      <w:r>
        <w:rPr>
          <w:i/>
        </w:rPr>
        <w:t>p</w:t>
      </w:r>
      <w:r>
        <w:rPr/>
        <w:t>&lt; 0.05) were associated with lower rates of intentions to use EC.</w:t>
      </w:r>
      <w:r>
        <w:rPr>
          <w:spacing w:val="40"/>
        </w:rPr>
        <w:t> </w:t>
      </w:r>
      <w:r>
        <w:rPr/>
        <w:t>These associations remained significant in the multivariate model, with the exception of past EC use, which was not included to improve model fit. Nagelkerke R</w:t>
      </w:r>
      <w:r>
        <w:rPr>
          <w:vertAlign w:val="superscript"/>
        </w:rPr>
        <w:t>2</w:t>
      </w:r>
      <w:r>
        <w:rPr>
          <w:vertAlign w:val="baseline"/>
        </w:rPr>
        <w:t> for this model was .50, which indicates very strong model fit, specifically that the model explained half of the variation in EC use intentions in the sample.</w:t>
      </w:r>
    </w:p>
    <w:p>
      <w:pPr>
        <w:pStyle w:val="BodyText"/>
        <w:spacing w:before="8"/>
        <w:ind w:left="0"/>
      </w:pPr>
    </w:p>
    <w:p>
      <w:pPr>
        <w:pStyle w:val="Heading1"/>
      </w:pPr>
      <w:r>
        <w:rPr>
          <w:spacing w:val="-2"/>
        </w:rPr>
        <w:t>Males</w:t>
      </w:r>
    </w:p>
    <w:p>
      <w:pPr>
        <w:pStyle w:val="BodyText"/>
        <w:ind w:left="120" w:right="114"/>
        <w:jc w:val="both"/>
      </w:pPr>
      <w:r>
        <w:rPr/>
        <w:t>Table 1 displays descriptive statistics of the sample for males. Of the 118 participants, the most frequent demographic characteristics were White (57.7%) and being a sophomore (46.4%). Nearly</w:t>
      </w:r>
      <w:r>
        <w:rPr>
          <w:spacing w:val="-7"/>
        </w:rPr>
        <w:t> </w:t>
      </w:r>
      <w:r>
        <w:rPr/>
        <w:t>one</w:t>
      </w:r>
      <w:r>
        <w:rPr>
          <w:spacing w:val="-4"/>
        </w:rPr>
        <w:t> </w:t>
      </w:r>
      <w:r>
        <w:rPr/>
        <w:t>in</w:t>
      </w:r>
      <w:r>
        <w:rPr>
          <w:spacing w:val="-4"/>
        </w:rPr>
        <w:t> </w:t>
      </w:r>
      <w:r>
        <w:rPr/>
        <w:t>11</w:t>
      </w:r>
      <w:r>
        <w:rPr>
          <w:spacing w:val="-4"/>
        </w:rPr>
        <w:t> </w:t>
      </w:r>
      <w:r>
        <w:rPr/>
        <w:t>participants</w:t>
      </w:r>
      <w:r>
        <w:rPr>
          <w:spacing w:val="-4"/>
        </w:rPr>
        <w:t> </w:t>
      </w:r>
      <w:r>
        <w:rPr/>
        <w:t>reported</w:t>
      </w:r>
      <w:r>
        <w:rPr>
          <w:spacing w:val="-4"/>
        </w:rPr>
        <w:t> </w:t>
      </w:r>
      <w:r>
        <w:rPr/>
        <w:t>unplanned pregnancies (8.7%), and over one in 10 participants (10.3%) had experienced at least</w:t>
      </w:r>
      <w:r>
        <w:rPr>
          <w:spacing w:val="40"/>
        </w:rPr>
        <w:t> </w:t>
      </w:r>
      <w:r>
        <w:rPr/>
        <w:t>one abortion with a current or past sexual partner. Average age was 20.25 years (SD = 2.40). Over four fifths of the participants</w:t>
      </w:r>
      <w:r>
        <w:rPr>
          <w:spacing w:val="40"/>
        </w:rPr>
        <w:t> </w:t>
      </w:r>
      <w:r>
        <w:rPr/>
        <w:t>(81.6%) reported having penile-vaginal intercourse in their lifetime and among them, 58.3% had at least one sexual partner use EC. When asked about the reason for EC,</w:t>
      </w:r>
      <w:r>
        <w:rPr>
          <w:spacing w:val="40"/>
        </w:rPr>
        <w:t> </w:t>
      </w:r>
      <w:r>
        <w:rPr/>
        <w:t>participants reported “no birth control (31.9%)” and “condom slipped or broke off (31.9%).”</w:t>
      </w:r>
    </w:p>
    <w:p>
      <w:pPr>
        <w:pStyle w:val="BodyText"/>
        <w:spacing w:before="249"/>
        <w:ind w:left="120" w:right="114"/>
        <w:jc w:val="both"/>
      </w:pPr>
      <w:r>
        <w:rPr/>
        <w:t>Table 2 displays bivariate and multivariate logistic regression results. For men’s bivariate results, the perception that using EC is morally wrong</w:t>
      </w:r>
      <w:r>
        <w:rPr>
          <w:spacing w:val="32"/>
        </w:rPr>
        <w:t>  </w:t>
      </w:r>
      <w:r>
        <w:rPr/>
        <w:t>(</w:t>
      </w:r>
      <w:r>
        <w:rPr>
          <w:i/>
        </w:rPr>
        <w:t>p</w:t>
      </w:r>
      <w:r>
        <w:rPr/>
        <w:t>&lt;</w:t>
      </w:r>
      <w:r>
        <w:rPr>
          <w:spacing w:val="33"/>
        </w:rPr>
        <w:t>  </w:t>
      </w:r>
      <w:r>
        <w:rPr/>
        <w:t>.001)</w:t>
      </w:r>
      <w:r>
        <w:rPr>
          <w:spacing w:val="34"/>
        </w:rPr>
        <w:t>  </w:t>
      </w:r>
      <w:r>
        <w:rPr/>
        <w:t>and</w:t>
      </w:r>
      <w:r>
        <w:rPr>
          <w:spacing w:val="33"/>
        </w:rPr>
        <w:t>  </w:t>
      </w:r>
      <w:r>
        <w:rPr/>
        <w:t>that</w:t>
      </w:r>
      <w:r>
        <w:rPr>
          <w:spacing w:val="34"/>
        </w:rPr>
        <w:t>  </w:t>
      </w:r>
      <w:r>
        <w:rPr/>
        <w:t>EC</w:t>
      </w:r>
      <w:r>
        <w:rPr>
          <w:spacing w:val="33"/>
        </w:rPr>
        <w:t>  </w:t>
      </w:r>
      <w:r>
        <w:rPr>
          <w:spacing w:val="-2"/>
        </w:rPr>
        <w:t>encourages</w:t>
      </w:r>
    </w:p>
    <w:p>
      <w:pPr>
        <w:spacing w:after="0"/>
        <w:jc w:val="both"/>
        <w:sectPr>
          <w:pgSz w:w="12240" w:h="15840"/>
          <w:pgMar w:header="699" w:footer="794" w:top="1340" w:bottom="980" w:left="1320" w:right="1320"/>
          <w:cols w:num="2" w:equalWidth="0">
            <w:col w:w="4484" w:space="555"/>
            <w:col w:w="4561"/>
          </w:cols>
        </w:sectPr>
      </w:pPr>
    </w:p>
    <w:p>
      <w:pPr>
        <w:pStyle w:val="BodyText"/>
        <w:spacing w:before="84"/>
        <w:ind w:left="120" w:right="38"/>
        <w:jc w:val="both"/>
      </w:pPr>
      <w:r>
        <w:rPr/>
        <w:t>promiscuity (</w:t>
      </w:r>
      <w:r>
        <w:rPr>
          <w:i/>
        </w:rPr>
        <w:t>p</w:t>
      </w:r>
      <w:r>
        <w:rPr/>
        <w:t>&lt; .01) were negatively associated with EC use intentions. Conversely, the perception that EC is worth using even if the monetary cost is high (</w:t>
      </w:r>
      <w:r>
        <w:rPr>
          <w:i/>
        </w:rPr>
        <w:t>p</w:t>
      </w:r>
      <w:r>
        <w:rPr/>
        <w:t>&lt; 0.01) was positively associated with EC use intentions. All of these variables were included in the subsequent multivariate linear regression model.</w:t>
      </w:r>
    </w:p>
    <w:p>
      <w:pPr>
        <w:pStyle w:val="BodyText"/>
        <w:spacing w:before="252"/>
        <w:ind w:left="120" w:right="38"/>
        <w:jc w:val="both"/>
      </w:pPr>
      <w:r>
        <w:rPr/>
        <w:t>For the multivariate linear regression model, none of the individual predictor variables were significantly related to men’s intentions to support</w:t>
      </w:r>
      <w:r>
        <w:rPr>
          <w:spacing w:val="60"/>
        </w:rPr>
        <w:t> </w:t>
      </w:r>
      <w:r>
        <w:rPr/>
        <w:t>their</w:t>
      </w:r>
      <w:r>
        <w:rPr>
          <w:spacing w:val="61"/>
        </w:rPr>
        <w:t> </w:t>
      </w:r>
      <w:r>
        <w:rPr/>
        <w:t>partner’s</w:t>
      </w:r>
      <w:r>
        <w:rPr>
          <w:spacing w:val="60"/>
        </w:rPr>
        <w:t> </w:t>
      </w:r>
      <w:r>
        <w:rPr/>
        <w:t>EC</w:t>
      </w:r>
      <w:r>
        <w:rPr>
          <w:spacing w:val="59"/>
        </w:rPr>
        <w:t> </w:t>
      </w:r>
      <w:r>
        <w:rPr/>
        <w:t>use.</w:t>
      </w:r>
      <w:r>
        <w:rPr>
          <w:spacing w:val="60"/>
        </w:rPr>
        <w:t> </w:t>
      </w:r>
      <w:r>
        <w:rPr/>
        <w:t>The</w:t>
      </w:r>
      <w:r>
        <w:rPr>
          <w:spacing w:val="61"/>
        </w:rPr>
        <w:t> </w:t>
      </w:r>
      <w:r>
        <w:rPr>
          <w:spacing w:val="-2"/>
        </w:rPr>
        <w:t>predictor</w:t>
      </w:r>
    </w:p>
    <w:p>
      <w:pPr>
        <w:pStyle w:val="BodyText"/>
        <w:spacing w:before="83"/>
        <w:ind w:left="120" w:right="115"/>
        <w:jc w:val="both"/>
      </w:pPr>
      <w:r>
        <w:rPr/>
        <w:br w:type="column"/>
      </w:r>
      <w:r>
        <w:rPr/>
        <w:t>that was closest to being statistically significant was EC use is morally wrong (</w:t>
      </w:r>
      <w:r>
        <w:rPr>
          <w:i/>
        </w:rPr>
        <w:t>p</w:t>
      </w:r>
      <w:r>
        <w:rPr/>
        <w:t>= .056). Nevertheless,</w:t>
      </w:r>
      <w:r>
        <w:rPr>
          <w:spacing w:val="11"/>
        </w:rPr>
        <w:t> </w:t>
      </w:r>
      <w:r>
        <w:rPr/>
        <w:t>Nagelkerke</w:t>
      </w:r>
      <w:r>
        <w:rPr>
          <w:spacing w:val="13"/>
        </w:rPr>
        <w:t> </w:t>
      </w:r>
      <w:r>
        <w:rPr/>
        <w:t>R</w:t>
      </w:r>
      <w:r>
        <w:rPr>
          <w:vertAlign w:val="superscript"/>
        </w:rPr>
        <w:t>2</w:t>
      </w:r>
      <w:r>
        <w:rPr>
          <w:spacing w:val="12"/>
          <w:vertAlign w:val="baseline"/>
        </w:rPr>
        <w:t> </w:t>
      </w:r>
      <w:r>
        <w:rPr>
          <w:vertAlign w:val="baseline"/>
        </w:rPr>
        <w:t>for</w:t>
      </w:r>
      <w:r>
        <w:rPr>
          <w:spacing w:val="13"/>
          <w:vertAlign w:val="baseline"/>
        </w:rPr>
        <w:t> </w:t>
      </w:r>
      <w:r>
        <w:rPr>
          <w:vertAlign w:val="baseline"/>
        </w:rPr>
        <w:t>this</w:t>
      </w:r>
      <w:r>
        <w:rPr>
          <w:spacing w:val="13"/>
          <w:vertAlign w:val="baseline"/>
        </w:rPr>
        <w:t> </w:t>
      </w:r>
      <w:r>
        <w:rPr>
          <w:vertAlign w:val="baseline"/>
        </w:rPr>
        <w:t>model</w:t>
      </w:r>
      <w:r>
        <w:rPr>
          <w:spacing w:val="14"/>
          <w:vertAlign w:val="baseline"/>
        </w:rPr>
        <w:t> </w:t>
      </w:r>
      <w:r>
        <w:rPr>
          <w:spacing w:val="-5"/>
          <w:vertAlign w:val="baseline"/>
        </w:rPr>
        <w:t>was</w:t>
      </w:r>
    </w:p>
    <w:p>
      <w:pPr>
        <w:pStyle w:val="BodyText"/>
        <w:ind w:left="120" w:right="112"/>
        <w:jc w:val="both"/>
      </w:pPr>
      <w:r>
        <w:rPr/>
        <w:t>.486, which indicates very strong model fit, meaning that the model explained nearly half of the variation in EC support intentions in the sample. The lack of statistical significance for the individual predictors in this model is likely due to their high correlations with each other, even though multicollinearity was not an issue.</w:t>
      </w:r>
    </w:p>
    <w:p>
      <w:pPr>
        <w:spacing w:after="0"/>
        <w:jc w:val="both"/>
        <w:sectPr>
          <w:pgSz w:w="12240" w:h="15840"/>
          <w:pgMar w:header="699" w:footer="794" w:top="1340" w:bottom="980" w:left="1320" w:right="1320"/>
          <w:cols w:num="2" w:equalWidth="0">
            <w:col w:w="4484" w:space="556"/>
            <w:col w:w="4560"/>
          </w:cols>
        </w:sectPr>
      </w:pPr>
    </w:p>
    <w:tbl>
      <w:tblPr>
        <w:tblW w:w="0" w:type="auto"/>
        <w:jc w:val="left"/>
        <w:tblInd w:w="8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25"/>
        <w:gridCol w:w="1713"/>
        <w:gridCol w:w="1732"/>
        <w:gridCol w:w="903"/>
      </w:tblGrid>
      <w:tr>
        <w:trPr>
          <w:trHeight w:val="741" w:hRule="atLeast"/>
        </w:trPr>
        <w:tc>
          <w:tcPr>
            <w:tcW w:w="7873" w:type="dxa"/>
            <w:gridSpan w:val="4"/>
            <w:tcBorders>
              <w:bottom w:val="single" w:sz="12" w:space="0" w:color="000000"/>
            </w:tcBorders>
          </w:tcPr>
          <w:p>
            <w:pPr>
              <w:pStyle w:val="TableParagraph"/>
              <w:spacing w:line="244" w:lineRule="exact"/>
              <w:ind w:right="2"/>
              <w:jc w:val="center"/>
              <w:rPr>
                <w:b/>
                <w:sz w:val="22"/>
              </w:rPr>
            </w:pPr>
            <w:r>
              <w:rPr>
                <w:b/>
                <w:sz w:val="22"/>
              </w:rPr>
              <w:t>Table</w:t>
            </w:r>
            <w:r>
              <w:rPr>
                <w:b/>
                <w:spacing w:val="-1"/>
                <w:sz w:val="22"/>
              </w:rPr>
              <w:t> </w:t>
            </w:r>
            <w:r>
              <w:rPr>
                <w:b/>
                <w:spacing w:val="-5"/>
                <w:sz w:val="22"/>
              </w:rPr>
              <w:t>1.</w:t>
            </w:r>
          </w:p>
          <w:p>
            <w:pPr>
              <w:pStyle w:val="TableParagraph"/>
              <w:spacing w:line="238" w:lineRule="exact" w:before="248"/>
              <w:ind w:left="1" w:right="2"/>
              <w:jc w:val="center"/>
              <w:rPr>
                <w:sz w:val="22"/>
              </w:rPr>
            </w:pPr>
            <w:r>
              <w:rPr>
                <w:sz w:val="22"/>
              </w:rPr>
              <w:t>Demographic</w:t>
            </w:r>
            <w:r>
              <w:rPr>
                <w:spacing w:val="-5"/>
                <w:sz w:val="22"/>
              </w:rPr>
              <w:t> </w:t>
            </w:r>
            <w:r>
              <w:rPr>
                <w:sz w:val="22"/>
              </w:rPr>
              <w:t>Characteristics</w:t>
            </w:r>
            <w:r>
              <w:rPr>
                <w:spacing w:val="-4"/>
                <w:sz w:val="22"/>
              </w:rPr>
              <w:t> </w:t>
            </w:r>
            <w:r>
              <w:rPr>
                <w:sz w:val="22"/>
              </w:rPr>
              <w:t>of</w:t>
            </w:r>
            <w:r>
              <w:rPr>
                <w:spacing w:val="-6"/>
                <w:sz w:val="22"/>
              </w:rPr>
              <w:t> </w:t>
            </w:r>
            <w:r>
              <w:rPr>
                <w:sz w:val="22"/>
              </w:rPr>
              <w:t>the</w:t>
            </w:r>
            <w:r>
              <w:rPr>
                <w:spacing w:val="-6"/>
                <w:sz w:val="22"/>
              </w:rPr>
              <w:t> </w:t>
            </w:r>
            <w:r>
              <w:rPr>
                <w:spacing w:val="-2"/>
                <w:sz w:val="22"/>
              </w:rPr>
              <w:t>Sample</w:t>
            </w:r>
          </w:p>
        </w:tc>
      </w:tr>
      <w:tr>
        <w:trPr>
          <w:trHeight w:val="514" w:hRule="atLeast"/>
        </w:trPr>
        <w:tc>
          <w:tcPr>
            <w:tcW w:w="3525" w:type="dxa"/>
            <w:tcBorders>
              <w:top w:val="single" w:sz="12" w:space="0" w:color="000000"/>
              <w:bottom w:val="single" w:sz="4" w:space="0" w:color="000000"/>
            </w:tcBorders>
          </w:tcPr>
          <w:p>
            <w:pPr>
              <w:pStyle w:val="TableParagraph"/>
              <w:rPr>
                <w:sz w:val="20"/>
              </w:rPr>
            </w:pPr>
          </w:p>
        </w:tc>
        <w:tc>
          <w:tcPr>
            <w:tcW w:w="1713" w:type="dxa"/>
            <w:tcBorders>
              <w:top w:val="single" w:sz="12" w:space="0" w:color="000000"/>
              <w:bottom w:val="single" w:sz="4" w:space="0" w:color="000000"/>
            </w:tcBorders>
          </w:tcPr>
          <w:p>
            <w:pPr>
              <w:pStyle w:val="TableParagraph"/>
              <w:spacing w:line="249" w:lineRule="exact"/>
              <w:ind w:left="58" w:right="59"/>
              <w:jc w:val="center"/>
              <w:rPr>
                <w:sz w:val="22"/>
              </w:rPr>
            </w:pPr>
            <w:r>
              <w:rPr>
                <w:sz w:val="22"/>
              </w:rPr>
              <w:t>Females</w:t>
            </w:r>
            <w:r>
              <w:rPr>
                <w:spacing w:val="-2"/>
                <w:sz w:val="22"/>
              </w:rPr>
              <w:t> </w:t>
            </w:r>
            <w:r>
              <w:rPr>
                <w:sz w:val="22"/>
              </w:rPr>
              <w:t>(n</w:t>
            </w:r>
            <w:r>
              <w:rPr>
                <w:spacing w:val="-4"/>
                <w:sz w:val="22"/>
              </w:rPr>
              <w:t> </w:t>
            </w:r>
            <w:r>
              <w:rPr>
                <w:sz w:val="22"/>
              </w:rPr>
              <w:t>=</w:t>
            </w:r>
            <w:r>
              <w:rPr>
                <w:spacing w:val="-1"/>
                <w:sz w:val="22"/>
              </w:rPr>
              <w:t> </w:t>
            </w:r>
            <w:r>
              <w:rPr>
                <w:spacing w:val="-5"/>
                <w:sz w:val="22"/>
              </w:rPr>
              <w:t>96)</w:t>
            </w:r>
          </w:p>
        </w:tc>
        <w:tc>
          <w:tcPr>
            <w:tcW w:w="1732" w:type="dxa"/>
            <w:tcBorders>
              <w:top w:val="single" w:sz="12" w:space="0" w:color="000000"/>
              <w:bottom w:val="single" w:sz="4" w:space="0" w:color="000000"/>
            </w:tcBorders>
          </w:tcPr>
          <w:p>
            <w:pPr>
              <w:pStyle w:val="TableParagraph"/>
              <w:spacing w:line="249" w:lineRule="exact"/>
              <w:ind w:left="53" w:right="82"/>
              <w:jc w:val="center"/>
              <w:rPr>
                <w:sz w:val="22"/>
              </w:rPr>
            </w:pPr>
            <w:r>
              <w:rPr>
                <w:sz w:val="22"/>
              </w:rPr>
              <w:t>Males</w:t>
            </w:r>
            <w:r>
              <w:rPr>
                <w:spacing w:val="-5"/>
                <w:sz w:val="22"/>
              </w:rPr>
              <w:t> </w:t>
            </w:r>
            <w:r>
              <w:rPr>
                <w:sz w:val="22"/>
              </w:rPr>
              <w:t>(n</w:t>
            </w:r>
            <w:r>
              <w:rPr>
                <w:spacing w:val="-1"/>
                <w:sz w:val="22"/>
              </w:rPr>
              <w:t> </w:t>
            </w:r>
            <w:r>
              <w:rPr>
                <w:sz w:val="22"/>
              </w:rPr>
              <w:t>= </w:t>
            </w:r>
            <w:r>
              <w:rPr>
                <w:spacing w:val="-4"/>
                <w:sz w:val="22"/>
              </w:rPr>
              <w:t>118)</w:t>
            </w:r>
          </w:p>
        </w:tc>
        <w:tc>
          <w:tcPr>
            <w:tcW w:w="903" w:type="dxa"/>
            <w:tcBorders>
              <w:top w:val="single" w:sz="12" w:space="0" w:color="000000"/>
              <w:bottom w:val="single" w:sz="4" w:space="0" w:color="000000"/>
            </w:tcBorders>
          </w:tcPr>
          <w:p>
            <w:pPr>
              <w:pStyle w:val="TableParagraph"/>
              <w:spacing w:line="249" w:lineRule="exact"/>
              <w:ind w:left="4" w:right="30"/>
              <w:jc w:val="center"/>
              <w:rPr>
                <w:sz w:val="22"/>
              </w:rPr>
            </w:pPr>
            <w:r>
              <w:rPr>
                <w:sz w:val="22"/>
              </w:rPr>
              <w:t>χ</w:t>
            </w:r>
            <w:r>
              <w:rPr>
                <w:sz w:val="22"/>
                <w:vertAlign w:val="superscript"/>
              </w:rPr>
              <w:t>2</w:t>
            </w:r>
            <w:r>
              <w:rPr>
                <w:spacing w:val="-1"/>
                <w:sz w:val="22"/>
                <w:vertAlign w:val="baseline"/>
              </w:rPr>
              <w:t> </w:t>
            </w:r>
            <w:r>
              <w:rPr>
                <w:sz w:val="22"/>
                <w:vertAlign w:val="baseline"/>
              </w:rPr>
              <w:t>or </w:t>
            </w:r>
            <w:r>
              <w:rPr>
                <w:spacing w:val="-10"/>
                <w:sz w:val="22"/>
                <w:vertAlign w:val="baseline"/>
              </w:rPr>
              <w:t>t</w:t>
            </w:r>
          </w:p>
        </w:tc>
      </w:tr>
      <w:tr>
        <w:trPr>
          <w:trHeight w:val="281" w:hRule="atLeast"/>
        </w:trPr>
        <w:tc>
          <w:tcPr>
            <w:tcW w:w="3525" w:type="dxa"/>
            <w:tcBorders>
              <w:top w:val="single" w:sz="4" w:space="0" w:color="000000"/>
            </w:tcBorders>
          </w:tcPr>
          <w:p>
            <w:pPr>
              <w:pStyle w:val="TableParagraph"/>
              <w:spacing w:line="249" w:lineRule="exact"/>
              <w:ind w:left="107"/>
              <w:rPr>
                <w:sz w:val="22"/>
              </w:rPr>
            </w:pPr>
            <w:r>
              <w:rPr>
                <w:sz w:val="22"/>
              </w:rPr>
              <w:t>Physical</w:t>
            </w:r>
            <w:r>
              <w:rPr>
                <w:spacing w:val="-3"/>
                <w:sz w:val="22"/>
              </w:rPr>
              <w:t> </w:t>
            </w:r>
            <w:r>
              <w:rPr>
                <w:sz w:val="22"/>
              </w:rPr>
              <w:t>Education</w:t>
            </w:r>
            <w:r>
              <w:rPr>
                <w:spacing w:val="-4"/>
                <w:sz w:val="22"/>
              </w:rPr>
              <w:t> </w:t>
            </w:r>
            <w:r>
              <w:rPr>
                <w:sz w:val="22"/>
              </w:rPr>
              <w:t>or</w:t>
            </w:r>
            <w:r>
              <w:rPr>
                <w:spacing w:val="-5"/>
                <w:sz w:val="22"/>
              </w:rPr>
              <w:t> </w:t>
            </w:r>
            <w:r>
              <w:rPr>
                <w:sz w:val="22"/>
              </w:rPr>
              <w:t>Health</w:t>
            </w:r>
            <w:r>
              <w:rPr>
                <w:spacing w:val="-3"/>
                <w:sz w:val="22"/>
              </w:rPr>
              <w:t> </w:t>
            </w:r>
            <w:r>
              <w:rPr>
                <w:spacing w:val="-4"/>
                <w:sz w:val="22"/>
              </w:rPr>
              <w:t>major</w:t>
            </w:r>
          </w:p>
        </w:tc>
        <w:tc>
          <w:tcPr>
            <w:tcW w:w="1713" w:type="dxa"/>
            <w:tcBorders>
              <w:top w:val="single" w:sz="4" w:space="0" w:color="000000"/>
            </w:tcBorders>
          </w:tcPr>
          <w:p>
            <w:pPr>
              <w:pStyle w:val="TableParagraph"/>
              <w:spacing w:line="249" w:lineRule="exact"/>
              <w:ind w:left="58" w:right="59"/>
              <w:jc w:val="center"/>
              <w:rPr>
                <w:sz w:val="22"/>
              </w:rPr>
            </w:pPr>
            <w:r>
              <w:rPr>
                <w:spacing w:val="-2"/>
                <w:sz w:val="22"/>
              </w:rPr>
              <w:t>38.9%</w:t>
            </w:r>
          </w:p>
        </w:tc>
        <w:tc>
          <w:tcPr>
            <w:tcW w:w="1732" w:type="dxa"/>
            <w:tcBorders>
              <w:top w:val="single" w:sz="4" w:space="0" w:color="000000"/>
            </w:tcBorders>
          </w:tcPr>
          <w:p>
            <w:pPr>
              <w:pStyle w:val="TableParagraph"/>
              <w:spacing w:line="249" w:lineRule="exact"/>
              <w:ind w:left="53" w:right="82"/>
              <w:jc w:val="center"/>
              <w:rPr>
                <w:sz w:val="22"/>
              </w:rPr>
            </w:pPr>
            <w:r>
              <w:rPr>
                <w:spacing w:val="-2"/>
                <w:sz w:val="22"/>
              </w:rPr>
              <w:t>30.4%</w:t>
            </w:r>
          </w:p>
        </w:tc>
        <w:tc>
          <w:tcPr>
            <w:tcW w:w="903" w:type="dxa"/>
            <w:tcBorders>
              <w:top w:val="single" w:sz="4" w:space="0" w:color="000000"/>
            </w:tcBorders>
          </w:tcPr>
          <w:p>
            <w:pPr>
              <w:pStyle w:val="TableParagraph"/>
              <w:spacing w:line="249" w:lineRule="exact"/>
              <w:ind w:right="30"/>
              <w:jc w:val="center"/>
              <w:rPr>
                <w:sz w:val="22"/>
              </w:rPr>
            </w:pPr>
            <w:r>
              <w:rPr>
                <w:spacing w:val="-4"/>
                <w:sz w:val="22"/>
              </w:rPr>
              <w:t>1.62</w:t>
            </w:r>
          </w:p>
        </w:tc>
      </w:tr>
      <w:tr>
        <w:trPr>
          <w:trHeight w:val="309" w:hRule="atLeast"/>
        </w:trPr>
        <w:tc>
          <w:tcPr>
            <w:tcW w:w="3525" w:type="dxa"/>
          </w:tcPr>
          <w:p>
            <w:pPr>
              <w:pStyle w:val="TableParagraph"/>
              <w:spacing w:before="24"/>
              <w:ind w:left="107"/>
              <w:rPr>
                <w:sz w:val="22"/>
              </w:rPr>
            </w:pPr>
            <w:r>
              <w:rPr>
                <w:sz w:val="22"/>
              </w:rPr>
              <w:t>Religious</w:t>
            </w:r>
            <w:r>
              <w:rPr>
                <w:spacing w:val="-4"/>
                <w:sz w:val="22"/>
              </w:rPr>
              <w:t> </w:t>
            </w:r>
            <w:r>
              <w:rPr>
                <w:spacing w:val="-2"/>
                <w:sz w:val="22"/>
              </w:rPr>
              <w:t>background</w:t>
            </w:r>
          </w:p>
        </w:tc>
        <w:tc>
          <w:tcPr>
            <w:tcW w:w="1713" w:type="dxa"/>
          </w:tcPr>
          <w:p>
            <w:pPr>
              <w:pStyle w:val="TableParagraph"/>
              <w:rPr>
                <w:sz w:val="20"/>
              </w:rPr>
            </w:pPr>
          </w:p>
        </w:tc>
        <w:tc>
          <w:tcPr>
            <w:tcW w:w="1732" w:type="dxa"/>
          </w:tcPr>
          <w:p>
            <w:pPr>
              <w:pStyle w:val="TableParagraph"/>
              <w:rPr>
                <w:sz w:val="20"/>
              </w:rPr>
            </w:pPr>
          </w:p>
        </w:tc>
        <w:tc>
          <w:tcPr>
            <w:tcW w:w="903" w:type="dxa"/>
          </w:tcPr>
          <w:p>
            <w:pPr>
              <w:pStyle w:val="TableParagraph"/>
              <w:spacing w:before="24"/>
              <w:ind w:right="30"/>
              <w:jc w:val="center"/>
              <w:rPr>
                <w:sz w:val="22"/>
              </w:rPr>
            </w:pPr>
            <w:r>
              <w:rPr>
                <w:spacing w:val="-4"/>
                <w:sz w:val="22"/>
              </w:rPr>
              <w:t>3.98</w:t>
            </w:r>
          </w:p>
        </w:tc>
      </w:tr>
      <w:tr>
        <w:trPr>
          <w:trHeight w:val="309" w:hRule="atLeast"/>
        </w:trPr>
        <w:tc>
          <w:tcPr>
            <w:tcW w:w="3525" w:type="dxa"/>
          </w:tcPr>
          <w:p>
            <w:pPr>
              <w:pStyle w:val="TableParagraph"/>
              <w:spacing w:before="24"/>
              <w:ind w:left="854"/>
              <w:rPr>
                <w:sz w:val="22"/>
              </w:rPr>
            </w:pPr>
            <w:r>
              <w:rPr>
                <w:spacing w:val="-2"/>
                <w:sz w:val="22"/>
              </w:rPr>
              <w:t>Catholic</w:t>
            </w:r>
          </w:p>
        </w:tc>
        <w:tc>
          <w:tcPr>
            <w:tcW w:w="1713" w:type="dxa"/>
          </w:tcPr>
          <w:p>
            <w:pPr>
              <w:pStyle w:val="TableParagraph"/>
              <w:spacing w:before="24"/>
              <w:ind w:left="58" w:right="59"/>
              <w:jc w:val="center"/>
              <w:rPr>
                <w:sz w:val="22"/>
              </w:rPr>
            </w:pPr>
            <w:r>
              <w:rPr>
                <w:spacing w:val="-2"/>
                <w:sz w:val="22"/>
              </w:rPr>
              <w:t>30.9%</w:t>
            </w:r>
          </w:p>
        </w:tc>
        <w:tc>
          <w:tcPr>
            <w:tcW w:w="1732" w:type="dxa"/>
          </w:tcPr>
          <w:p>
            <w:pPr>
              <w:pStyle w:val="TableParagraph"/>
              <w:spacing w:before="24"/>
              <w:ind w:left="53" w:right="82"/>
              <w:jc w:val="center"/>
              <w:rPr>
                <w:sz w:val="22"/>
              </w:rPr>
            </w:pPr>
            <w:r>
              <w:rPr>
                <w:spacing w:val="-2"/>
                <w:sz w:val="22"/>
              </w:rPr>
              <w:t>29.2%</w:t>
            </w:r>
          </w:p>
        </w:tc>
        <w:tc>
          <w:tcPr>
            <w:tcW w:w="903" w:type="dxa"/>
          </w:tcPr>
          <w:p>
            <w:pPr>
              <w:pStyle w:val="TableParagraph"/>
              <w:rPr>
                <w:sz w:val="20"/>
              </w:rPr>
            </w:pPr>
          </w:p>
        </w:tc>
      </w:tr>
      <w:tr>
        <w:trPr>
          <w:trHeight w:val="309" w:hRule="atLeast"/>
        </w:trPr>
        <w:tc>
          <w:tcPr>
            <w:tcW w:w="3525" w:type="dxa"/>
          </w:tcPr>
          <w:p>
            <w:pPr>
              <w:pStyle w:val="TableParagraph"/>
              <w:spacing w:before="24"/>
              <w:ind w:left="854"/>
              <w:rPr>
                <w:sz w:val="22"/>
              </w:rPr>
            </w:pPr>
            <w:r>
              <w:rPr>
                <w:sz w:val="22"/>
              </w:rPr>
              <w:t>Non-Catholic</w:t>
            </w:r>
            <w:r>
              <w:rPr>
                <w:spacing w:val="-5"/>
                <w:sz w:val="22"/>
              </w:rPr>
              <w:t> </w:t>
            </w:r>
            <w:r>
              <w:rPr>
                <w:spacing w:val="-2"/>
                <w:sz w:val="22"/>
              </w:rPr>
              <w:t>Christian</w:t>
            </w:r>
          </w:p>
        </w:tc>
        <w:tc>
          <w:tcPr>
            <w:tcW w:w="1713" w:type="dxa"/>
          </w:tcPr>
          <w:p>
            <w:pPr>
              <w:pStyle w:val="TableParagraph"/>
              <w:spacing w:before="24"/>
              <w:ind w:left="58" w:right="59"/>
              <w:jc w:val="center"/>
              <w:rPr>
                <w:sz w:val="22"/>
              </w:rPr>
            </w:pPr>
            <w:r>
              <w:rPr>
                <w:spacing w:val="-2"/>
                <w:sz w:val="22"/>
              </w:rPr>
              <w:t>27.7%</w:t>
            </w:r>
          </w:p>
        </w:tc>
        <w:tc>
          <w:tcPr>
            <w:tcW w:w="1732" w:type="dxa"/>
          </w:tcPr>
          <w:p>
            <w:pPr>
              <w:pStyle w:val="TableParagraph"/>
              <w:spacing w:before="24"/>
              <w:ind w:left="53" w:right="82"/>
              <w:jc w:val="center"/>
              <w:rPr>
                <w:sz w:val="22"/>
              </w:rPr>
            </w:pPr>
            <w:r>
              <w:rPr>
                <w:spacing w:val="-2"/>
                <w:sz w:val="22"/>
              </w:rPr>
              <w:t>35.4%</w:t>
            </w:r>
          </w:p>
        </w:tc>
        <w:tc>
          <w:tcPr>
            <w:tcW w:w="903" w:type="dxa"/>
          </w:tcPr>
          <w:p>
            <w:pPr>
              <w:pStyle w:val="TableParagraph"/>
              <w:rPr>
                <w:sz w:val="20"/>
              </w:rPr>
            </w:pPr>
          </w:p>
        </w:tc>
      </w:tr>
      <w:tr>
        <w:trPr>
          <w:trHeight w:val="309" w:hRule="atLeast"/>
        </w:trPr>
        <w:tc>
          <w:tcPr>
            <w:tcW w:w="3525" w:type="dxa"/>
          </w:tcPr>
          <w:p>
            <w:pPr>
              <w:pStyle w:val="TableParagraph"/>
              <w:spacing w:before="24"/>
              <w:ind w:left="854"/>
              <w:rPr>
                <w:sz w:val="22"/>
              </w:rPr>
            </w:pPr>
            <w:r>
              <w:rPr>
                <w:spacing w:val="-2"/>
                <w:sz w:val="22"/>
              </w:rPr>
              <w:t>Other</w:t>
            </w:r>
          </w:p>
        </w:tc>
        <w:tc>
          <w:tcPr>
            <w:tcW w:w="1713" w:type="dxa"/>
          </w:tcPr>
          <w:p>
            <w:pPr>
              <w:pStyle w:val="TableParagraph"/>
              <w:spacing w:before="24"/>
              <w:ind w:left="48"/>
              <w:jc w:val="center"/>
              <w:rPr>
                <w:sz w:val="22"/>
              </w:rPr>
            </w:pPr>
            <w:r>
              <w:rPr>
                <w:spacing w:val="-2"/>
                <w:sz w:val="22"/>
              </w:rPr>
              <w:t>19.1%</w:t>
            </w:r>
          </w:p>
        </w:tc>
        <w:tc>
          <w:tcPr>
            <w:tcW w:w="1732" w:type="dxa"/>
          </w:tcPr>
          <w:p>
            <w:pPr>
              <w:pStyle w:val="TableParagraph"/>
              <w:spacing w:before="24"/>
              <w:ind w:left="26" w:right="108"/>
              <w:jc w:val="center"/>
              <w:rPr>
                <w:sz w:val="22"/>
              </w:rPr>
            </w:pPr>
            <w:r>
              <w:rPr>
                <w:spacing w:val="-2"/>
                <w:sz w:val="22"/>
              </w:rPr>
              <w:t>14.3%</w:t>
            </w:r>
          </w:p>
        </w:tc>
        <w:tc>
          <w:tcPr>
            <w:tcW w:w="903" w:type="dxa"/>
          </w:tcPr>
          <w:p>
            <w:pPr>
              <w:pStyle w:val="TableParagraph"/>
              <w:rPr>
                <w:sz w:val="20"/>
              </w:rPr>
            </w:pPr>
          </w:p>
        </w:tc>
      </w:tr>
      <w:tr>
        <w:trPr>
          <w:trHeight w:val="310" w:hRule="atLeast"/>
        </w:trPr>
        <w:tc>
          <w:tcPr>
            <w:tcW w:w="3525" w:type="dxa"/>
          </w:tcPr>
          <w:p>
            <w:pPr>
              <w:pStyle w:val="TableParagraph"/>
              <w:spacing w:before="24"/>
              <w:ind w:left="854"/>
              <w:rPr>
                <w:sz w:val="22"/>
              </w:rPr>
            </w:pPr>
            <w:r>
              <w:rPr>
                <w:spacing w:val="-4"/>
                <w:sz w:val="22"/>
              </w:rPr>
              <w:t>None</w:t>
            </w:r>
          </w:p>
        </w:tc>
        <w:tc>
          <w:tcPr>
            <w:tcW w:w="1713" w:type="dxa"/>
          </w:tcPr>
          <w:p>
            <w:pPr>
              <w:pStyle w:val="TableParagraph"/>
              <w:spacing w:before="24"/>
              <w:ind w:left="58" w:right="59"/>
              <w:jc w:val="center"/>
              <w:rPr>
                <w:sz w:val="22"/>
              </w:rPr>
            </w:pPr>
            <w:r>
              <w:rPr>
                <w:spacing w:val="-2"/>
                <w:sz w:val="22"/>
              </w:rPr>
              <w:t>22.3%</w:t>
            </w:r>
          </w:p>
        </w:tc>
        <w:tc>
          <w:tcPr>
            <w:tcW w:w="1732" w:type="dxa"/>
          </w:tcPr>
          <w:p>
            <w:pPr>
              <w:pStyle w:val="TableParagraph"/>
              <w:spacing w:before="24"/>
              <w:ind w:left="53" w:right="82"/>
              <w:jc w:val="center"/>
              <w:rPr>
                <w:sz w:val="22"/>
              </w:rPr>
            </w:pPr>
            <w:r>
              <w:rPr>
                <w:spacing w:val="-2"/>
                <w:sz w:val="22"/>
              </w:rPr>
              <w:t>21.2%</w:t>
            </w:r>
          </w:p>
        </w:tc>
        <w:tc>
          <w:tcPr>
            <w:tcW w:w="903" w:type="dxa"/>
          </w:tcPr>
          <w:p>
            <w:pPr>
              <w:pStyle w:val="TableParagraph"/>
              <w:rPr>
                <w:sz w:val="20"/>
              </w:rPr>
            </w:pPr>
          </w:p>
        </w:tc>
      </w:tr>
      <w:tr>
        <w:trPr>
          <w:trHeight w:val="452" w:hRule="atLeast"/>
        </w:trPr>
        <w:tc>
          <w:tcPr>
            <w:tcW w:w="3525" w:type="dxa"/>
          </w:tcPr>
          <w:p>
            <w:pPr>
              <w:pStyle w:val="TableParagraph"/>
              <w:spacing w:before="25"/>
              <w:ind w:left="107"/>
              <w:rPr>
                <w:sz w:val="22"/>
              </w:rPr>
            </w:pPr>
            <w:r>
              <w:rPr>
                <w:sz w:val="22"/>
              </w:rPr>
              <w:t>Father</w:t>
            </w:r>
            <w:r>
              <w:rPr>
                <w:spacing w:val="-2"/>
                <w:sz w:val="22"/>
              </w:rPr>
              <w:t> </w:t>
            </w:r>
            <w:r>
              <w:rPr>
                <w:sz w:val="22"/>
              </w:rPr>
              <w:t>was</w:t>
            </w:r>
            <w:r>
              <w:rPr>
                <w:spacing w:val="-5"/>
                <w:sz w:val="22"/>
              </w:rPr>
              <w:t> </w:t>
            </w:r>
            <w:r>
              <w:rPr>
                <w:sz w:val="22"/>
              </w:rPr>
              <w:t>a</w:t>
            </w:r>
            <w:r>
              <w:rPr>
                <w:spacing w:val="-3"/>
                <w:sz w:val="22"/>
              </w:rPr>
              <w:t> </w:t>
            </w:r>
            <w:r>
              <w:rPr>
                <w:sz w:val="22"/>
              </w:rPr>
              <w:t>college</w:t>
            </w:r>
            <w:r>
              <w:rPr>
                <w:spacing w:val="-2"/>
                <w:sz w:val="22"/>
              </w:rPr>
              <w:t> graduate</w:t>
            </w:r>
          </w:p>
        </w:tc>
        <w:tc>
          <w:tcPr>
            <w:tcW w:w="1713" w:type="dxa"/>
          </w:tcPr>
          <w:p>
            <w:pPr>
              <w:pStyle w:val="TableParagraph"/>
              <w:spacing w:before="25"/>
              <w:ind w:right="59"/>
              <w:jc w:val="center"/>
              <w:rPr>
                <w:sz w:val="22"/>
              </w:rPr>
            </w:pPr>
            <w:r>
              <w:rPr>
                <w:spacing w:val="-2"/>
                <w:sz w:val="22"/>
              </w:rPr>
              <w:t>35.5%</w:t>
            </w:r>
          </w:p>
        </w:tc>
        <w:tc>
          <w:tcPr>
            <w:tcW w:w="1732" w:type="dxa"/>
          </w:tcPr>
          <w:p>
            <w:pPr>
              <w:pStyle w:val="TableParagraph"/>
              <w:spacing w:before="25"/>
              <w:ind w:left="26" w:right="108"/>
              <w:jc w:val="center"/>
              <w:rPr>
                <w:sz w:val="22"/>
              </w:rPr>
            </w:pPr>
            <w:r>
              <w:rPr>
                <w:spacing w:val="-2"/>
                <w:sz w:val="22"/>
              </w:rPr>
              <w:t>40.3%</w:t>
            </w:r>
          </w:p>
        </w:tc>
        <w:tc>
          <w:tcPr>
            <w:tcW w:w="903" w:type="dxa"/>
          </w:tcPr>
          <w:p>
            <w:pPr>
              <w:pStyle w:val="TableParagraph"/>
              <w:spacing w:before="25"/>
              <w:ind w:right="30"/>
              <w:jc w:val="center"/>
              <w:rPr>
                <w:sz w:val="22"/>
              </w:rPr>
            </w:pPr>
            <w:r>
              <w:rPr>
                <w:spacing w:val="-4"/>
                <w:sz w:val="22"/>
              </w:rPr>
              <w:t>1.01</w:t>
            </w:r>
          </w:p>
        </w:tc>
      </w:tr>
      <w:tr>
        <w:trPr>
          <w:trHeight w:val="594" w:hRule="atLeast"/>
        </w:trPr>
        <w:tc>
          <w:tcPr>
            <w:tcW w:w="3525" w:type="dxa"/>
          </w:tcPr>
          <w:p>
            <w:pPr>
              <w:pStyle w:val="TableParagraph"/>
              <w:spacing w:before="165"/>
              <w:ind w:left="107"/>
              <w:rPr>
                <w:sz w:val="22"/>
              </w:rPr>
            </w:pPr>
            <w:r>
              <w:rPr>
                <w:sz w:val="22"/>
              </w:rPr>
              <w:t>Mother</w:t>
            </w:r>
            <w:r>
              <w:rPr>
                <w:spacing w:val="-3"/>
                <w:sz w:val="22"/>
              </w:rPr>
              <w:t> </w:t>
            </w:r>
            <w:r>
              <w:rPr>
                <w:sz w:val="22"/>
              </w:rPr>
              <w:t>was</w:t>
            </w:r>
            <w:r>
              <w:rPr>
                <w:spacing w:val="-3"/>
                <w:sz w:val="22"/>
              </w:rPr>
              <w:t> </w:t>
            </w:r>
            <w:r>
              <w:rPr>
                <w:sz w:val="22"/>
              </w:rPr>
              <w:t>a</w:t>
            </w:r>
            <w:r>
              <w:rPr>
                <w:spacing w:val="-3"/>
                <w:sz w:val="22"/>
              </w:rPr>
              <w:t> </w:t>
            </w:r>
            <w:r>
              <w:rPr>
                <w:sz w:val="22"/>
              </w:rPr>
              <w:t>college</w:t>
            </w:r>
            <w:r>
              <w:rPr>
                <w:spacing w:val="-2"/>
                <w:sz w:val="22"/>
              </w:rPr>
              <w:t> graduate</w:t>
            </w:r>
          </w:p>
        </w:tc>
        <w:tc>
          <w:tcPr>
            <w:tcW w:w="1713" w:type="dxa"/>
          </w:tcPr>
          <w:p>
            <w:pPr>
              <w:pStyle w:val="TableParagraph"/>
              <w:spacing w:before="165"/>
              <w:ind w:left="48"/>
              <w:jc w:val="center"/>
              <w:rPr>
                <w:sz w:val="22"/>
              </w:rPr>
            </w:pPr>
            <w:r>
              <w:rPr>
                <w:spacing w:val="-2"/>
                <w:sz w:val="22"/>
              </w:rPr>
              <w:t>37.4%</w:t>
            </w:r>
          </w:p>
        </w:tc>
        <w:tc>
          <w:tcPr>
            <w:tcW w:w="1732" w:type="dxa"/>
          </w:tcPr>
          <w:p>
            <w:pPr>
              <w:pStyle w:val="TableParagraph"/>
              <w:spacing w:before="165"/>
              <w:ind w:left="108" w:right="82"/>
              <w:jc w:val="center"/>
              <w:rPr>
                <w:sz w:val="22"/>
              </w:rPr>
            </w:pPr>
            <w:r>
              <w:rPr>
                <w:spacing w:val="-2"/>
                <w:sz w:val="22"/>
              </w:rPr>
              <w:t>33.0%</w:t>
            </w:r>
          </w:p>
        </w:tc>
        <w:tc>
          <w:tcPr>
            <w:tcW w:w="903" w:type="dxa"/>
          </w:tcPr>
          <w:p>
            <w:pPr>
              <w:pStyle w:val="TableParagraph"/>
              <w:spacing w:before="165"/>
              <w:ind w:right="30"/>
              <w:jc w:val="center"/>
              <w:rPr>
                <w:sz w:val="22"/>
              </w:rPr>
            </w:pPr>
            <w:r>
              <w:rPr>
                <w:spacing w:val="-4"/>
                <w:sz w:val="22"/>
              </w:rPr>
              <w:t>2.35</w:t>
            </w:r>
          </w:p>
        </w:tc>
      </w:tr>
      <w:tr>
        <w:trPr>
          <w:trHeight w:val="452" w:hRule="atLeast"/>
        </w:trPr>
        <w:tc>
          <w:tcPr>
            <w:tcW w:w="3525" w:type="dxa"/>
          </w:tcPr>
          <w:p>
            <w:pPr>
              <w:pStyle w:val="TableParagraph"/>
              <w:spacing w:before="166"/>
              <w:ind w:left="107"/>
              <w:rPr>
                <w:sz w:val="22"/>
              </w:rPr>
            </w:pPr>
            <w:r>
              <w:rPr>
                <w:sz w:val="22"/>
              </w:rPr>
              <w:t>Year</w:t>
            </w:r>
            <w:r>
              <w:rPr>
                <w:spacing w:val="-5"/>
                <w:sz w:val="22"/>
              </w:rPr>
              <w:t> </w:t>
            </w:r>
            <w:r>
              <w:rPr>
                <w:sz w:val="22"/>
              </w:rPr>
              <w:t>in </w:t>
            </w:r>
            <w:r>
              <w:rPr>
                <w:spacing w:val="-2"/>
                <w:sz w:val="22"/>
              </w:rPr>
              <w:t>college</w:t>
            </w:r>
          </w:p>
        </w:tc>
        <w:tc>
          <w:tcPr>
            <w:tcW w:w="1713" w:type="dxa"/>
          </w:tcPr>
          <w:p>
            <w:pPr>
              <w:pStyle w:val="TableParagraph"/>
              <w:rPr>
                <w:sz w:val="20"/>
              </w:rPr>
            </w:pPr>
          </w:p>
        </w:tc>
        <w:tc>
          <w:tcPr>
            <w:tcW w:w="1732" w:type="dxa"/>
          </w:tcPr>
          <w:p>
            <w:pPr>
              <w:pStyle w:val="TableParagraph"/>
              <w:rPr>
                <w:sz w:val="20"/>
              </w:rPr>
            </w:pPr>
          </w:p>
        </w:tc>
        <w:tc>
          <w:tcPr>
            <w:tcW w:w="903" w:type="dxa"/>
          </w:tcPr>
          <w:p>
            <w:pPr>
              <w:pStyle w:val="TableParagraph"/>
              <w:spacing w:before="166"/>
              <w:ind w:left="5" w:right="30"/>
              <w:jc w:val="center"/>
              <w:rPr>
                <w:sz w:val="22"/>
              </w:rPr>
            </w:pPr>
            <w:r>
              <w:rPr>
                <w:spacing w:val="-2"/>
                <w:sz w:val="22"/>
              </w:rPr>
              <w:t>13.31**</w:t>
            </w:r>
          </w:p>
        </w:tc>
      </w:tr>
      <w:tr>
        <w:trPr>
          <w:trHeight w:val="309" w:hRule="atLeast"/>
        </w:trPr>
        <w:tc>
          <w:tcPr>
            <w:tcW w:w="3525" w:type="dxa"/>
          </w:tcPr>
          <w:p>
            <w:pPr>
              <w:pStyle w:val="TableParagraph"/>
              <w:spacing w:before="24"/>
              <w:ind w:left="854"/>
              <w:rPr>
                <w:sz w:val="22"/>
              </w:rPr>
            </w:pPr>
            <w:r>
              <w:rPr>
                <w:spacing w:val="-2"/>
                <w:sz w:val="22"/>
              </w:rPr>
              <w:t>Freshman</w:t>
            </w:r>
          </w:p>
        </w:tc>
        <w:tc>
          <w:tcPr>
            <w:tcW w:w="1713" w:type="dxa"/>
          </w:tcPr>
          <w:p>
            <w:pPr>
              <w:pStyle w:val="TableParagraph"/>
              <w:spacing w:before="24"/>
              <w:ind w:left="58" w:right="59"/>
              <w:jc w:val="center"/>
              <w:rPr>
                <w:sz w:val="22"/>
              </w:rPr>
            </w:pPr>
            <w:r>
              <w:rPr>
                <w:spacing w:val="-2"/>
                <w:sz w:val="22"/>
              </w:rPr>
              <w:t>37.9%</w:t>
            </w:r>
          </w:p>
        </w:tc>
        <w:tc>
          <w:tcPr>
            <w:tcW w:w="1732" w:type="dxa"/>
          </w:tcPr>
          <w:p>
            <w:pPr>
              <w:pStyle w:val="TableParagraph"/>
              <w:spacing w:before="24"/>
              <w:ind w:left="53" w:right="82"/>
              <w:jc w:val="center"/>
              <w:rPr>
                <w:sz w:val="22"/>
              </w:rPr>
            </w:pPr>
            <w:r>
              <w:rPr>
                <w:spacing w:val="-2"/>
                <w:sz w:val="22"/>
              </w:rPr>
              <w:t>26.8%</w:t>
            </w:r>
          </w:p>
        </w:tc>
        <w:tc>
          <w:tcPr>
            <w:tcW w:w="903" w:type="dxa"/>
          </w:tcPr>
          <w:p>
            <w:pPr>
              <w:pStyle w:val="TableParagraph"/>
              <w:rPr>
                <w:sz w:val="20"/>
              </w:rPr>
            </w:pPr>
          </w:p>
        </w:tc>
      </w:tr>
      <w:tr>
        <w:trPr>
          <w:trHeight w:val="309" w:hRule="atLeast"/>
        </w:trPr>
        <w:tc>
          <w:tcPr>
            <w:tcW w:w="3525" w:type="dxa"/>
          </w:tcPr>
          <w:p>
            <w:pPr>
              <w:pStyle w:val="TableParagraph"/>
              <w:spacing w:before="24"/>
              <w:ind w:left="820"/>
              <w:rPr>
                <w:sz w:val="22"/>
              </w:rPr>
            </w:pPr>
            <w:r>
              <w:rPr>
                <w:spacing w:val="-2"/>
                <w:sz w:val="22"/>
              </w:rPr>
              <w:t>Sophomore</w:t>
            </w:r>
          </w:p>
        </w:tc>
        <w:tc>
          <w:tcPr>
            <w:tcW w:w="1713" w:type="dxa"/>
          </w:tcPr>
          <w:p>
            <w:pPr>
              <w:pStyle w:val="TableParagraph"/>
              <w:spacing w:before="24"/>
              <w:ind w:left="58" w:right="59"/>
              <w:jc w:val="center"/>
              <w:rPr>
                <w:sz w:val="22"/>
              </w:rPr>
            </w:pPr>
            <w:r>
              <w:rPr>
                <w:spacing w:val="-2"/>
                <w:sz w:val="22"/>
              </w:rPr>
              <w:t>35.8%</w:t>
            </w:r>
          </w:p>
        </w:tc>
        <w:tc>
          <w:tcPr>
            <w:tcW w:w="1732" w:type="dxa"/>
          </w:tcPr>
          <w:p>
            <w:pPr>
              <w:pStyle w:val="TableParagraph"/>
              <w:spacing w:before="24"/>
              <w:ind w:left="53" w:right="82"/>
              <w:jc w:val="center"/>
              <w:rPr>
                <w:sz w:val="22"/>
              </w:rPr>
            </w:pPr>
            <w:r>
              <w:rPr>
                <w:spacing w:val="-2"/>
                <w:sz w:val="22"/>
              </w:rPr>
              <w:t>46.4%</w:t>
            </w:r>
          </w:p>
        </w:tc>
        <w:tc>
          <w:tcPr>
            <w:tcW w:w="903" w:type="dxa"/>
          </w:tcPr>
          <w:p>
            <w:pPr>
              <w:pStyle w:val="TableParagraph"/>
              <w:rPr>
                <w:sz w:val="20"/>
              </w:rPr>
            </w:pPr>
          </w:p>
        </w:tc>
      </w:tr>
      <w:tr>
        <w:trPr>
          <w:trHeight w:val="309" w:hRule="atLeast"/>
        </w:trPr>
        <w:tc>
          <w:tcPr>
            <w:tcW w:w="3525" w:type="dxa"/>
          </w:tcPr>
          <w:p>
            <w:pPr>
              <w:pStyle w:val="TableParagraph"/>
              <w:spacing w:before="24"/>
              <w:ind w:left="854"/>
              <w:rPr>
                <w:sz w:val="22"/>
              </w:rPr>
            </w:pPr>
            <w:r>
              <w:rPr>
                <w:sz w:val="22"/>
              </w:rPr>
              <w:t>Junior</w:t>
            </w:r>
            <w:r>
              <w:rPr>
                <w:spacing w:val="-4"/>
                <w:sz w:val="22"/>
              </w:rPr>
              <w:t> </w:t>
            </w:r>
            <w:r>
              <w:rPr>
                <w:sz w:val="22"/>
              </w:rPr>
              <w:t>or</w:t>
            </w:r>
            <w:r>
              <w:rPr>
                <w:spacing w:val="-2"/>
                <w:sz w:val="22"/>
              </w:rPr>
              <w:t> Senior</w:t>
            </w:r>
          </w:p>
        </w:tc>
        <w:tc>
          <w:tcPr>
            <w:tcW w:w="1713" w:type="dxa"/>
          </w:tcPr>
          <w:p>
            <w:pPr>
              <w:pStyle w:val="TableParagraph"/>
              <w:spacing w:before="24"/>
              <w:ind w:left="58" w:right="59"/>
              <w:jc w:val="center"/>
              <w:rPr>
                <w:sz w:val="22"/>
              </w:rPr>
            </w:pPr>
            <w:r>
              <w:rPr>
                <w:spacing w:val="-2"/>
                <w:sz w:val="22"/>
              </w:rPr>
              <w:t>20.0%</w:t>
            </w:r>
          </w:p>
        </w:tc>
        <w:tc>
          <w:tcPr>
            <w:tcW w:w="1732" w:type="dxa"/>
          </w:tcPr>
          <w:p>
            <w:pPr>
              <w:pStyle w:val="TableParagraph"/>
              <w:spacing w:before="24"/>
              <w:ind w:left="53" w:right="82"/>
              <w:jc w:val="center"/>
              <w:rPr>
                <w:sz w:val="22"/>
              </w:rPr>
            </w:pPr>
            <w:r>
              <w:rPr>
                <w:spacing w:val="-2"/>
                <w:sz w:val="22"/>
              </w:rPr>
              <w:t>26.7%</w:t>
            </w:r>
          </w:p>
        </w:tc>
        <w:tc>
          <w:tcPr>
            <w:tcW w:w="903" w:type="dxa"/>
          </w:tcPr>
          <w:p>
            <w:pPr>
              <w:pStyle w:val="TableParagraph"/>
              <w:rPr>
                <w:sz w:val="20"/>
              </w:rPr>
            </w:pPr>
          </w:p>
        </w:tc>
      </w:tr>
      <w:tr>
        <w:trPr>
          <w:trHeight w:val="309" w:hRule="atLeast"/>
        </w:trPr>
        <w:tc>
          <w:tcPr>
            <w:tcW w:w="3525" w:type="dxa"/>
          </w:tcPr>
          <w:p>
            <w:pPr>
              <w:pStyle w:val="TableParagraph"/>
              <w:spacing w:before="24"/>
              <w:ind w:left="107"/>
              <w:rPr>
                <w:sz w:val="22"/>
              </w:rPr>
            </w:pPr>
            <w:r>
              <w:rPr>
                <w:spacing w:val="-2"/>
                <w:sz w:val="22"/>
              </w:rPr>
              <w:t>Race/Ethnicity</w:t>
            </w:r>
          </w:p>
        </w:tc>
        <w:tc>
          <w:tcPr>
            <w:tcW w:w="1713" w:type="dxa"/>
          </w:tcPr>
          <w:p>
            <w:pPr>
              <w:pStyle w:val="TableParagraph"/>
              <w:rPr>
                <w:sz w:val="20"/>
              </w:rPr>
            </w:pPr>
          </w:p>
        </w:tc>
        <w:tc>
          <w:tcPr>
            <w:tcW w:w="1732" w:type="dxa"/>
          </w:tcPr>
          <w:p>
            <w:pPr>
              <w:pStyle w:val="TableParagraph"/>
              <w:rPr>
                <w:sz w:val="20"/>
              </w:rPr>
            </w:pPr>
          </w:p>
        </w:tc>
        <w:tc>
          <w:tcPr>
            <w:tcW w:w="903" w:type="dxa"/>
          </w:tcPr>
          <w:p>
            <w:pPr>
              <w:pStyle w:val="TableParagraph"/>
              <w:spacing w:before="24"/>
              <w:ind w:right="30"/>
              <w:jc w:val="center"/>
              <w:rPr>
                <w:sz w:val="22"/>
              </w:rPr>
            </w:pPr>
            <w:r>
              <w:rPr>
                <w:spacing w:val="-4"/>
                <w:sz w:val="22"/>
              </w:rPr>
              <w:t>6.39</w:t>
            </w:r>
          </w:p>
        </w:tc>
      </w:tr>
      <w:tr>
        <w:trPr>
          <w:trHeight w:val="310" w:hRule="atLeast"/>
        </w:trPr>
        <w:tc>
          <w:tcPr>
            <w:tcW w:w="3525" w:type="dxa"/>
          </w:tcPr>
          <w:p>
            <w:pPr>
              <w:pStyle w:val="TableParagraph"/>
              <w:spacing w:before="24"/>
              <w:ind w:left="854"/>
              <w:rPr>
                <w:sz w:val="22"/>
              </w:rPr>
            </w:pPr>
            <w:r>
              <w:rPr>
                <w:spacing w:val="-2"/>
                <w:sz w:val="22"/>
              </w:rPr>
              <w:t>White</w:t>
            </w:r>
          </w:p>
        </w:tc>
        <w:tc>
          <w:tcPr>
            <w:tcW w:w="1713" w:type="dxa"/>
          </w:tcPr>
          <w:p>
            <w:pPr>
              <w:pStyle w:val="TableParagraph"/>
              <w:spacing w:before="24"/>
              <w:ind w:left="58" w:right="59"/>
              <w:jc w:val="center"/>
              <w:rPr>
                <w:sz w:val="22"/>
              </w:rPr>
            </w:pPr>
            <w:r>
              <w:rPr>
                <w:spacing w:val="-2"/>
                <w:sz w:val="22"/>
              </w:rPr>
              <w:t>55.4%</w:t>
            </w:r>
          </w:p>
        </w:tc>
        <w:tc>
          <w:tcPr>
            <w:tcW w:w="1732" w:type="dxa"/>
          </w:tcPr>
          <w:p>
            <w:pPr>
              <w:pStyle w:val="TableParagraph"/>
              <w:spacing w:before="24"/>
              <w:ind w:left="53" w:right="82"/>
              <w:jc w:val="center"/>
              <w:rPr>
                <w:sz w:val="22"/>
              </w:rPr>
            </w:pPr>
            <w:r>
              <w:rPr>
                <w:spacing w:val="-2"/>
                <w:sz w:val="22"/>
              </w:rPr>
              <w:t>57.7%</w:t>
            </w:r>
          </w:p>
        </w:tc>
        <w:tc>
          <w:tcPr>
            <w:tcW w:w="903" w:type="dxa"/>
          </w:tcPr>
          <w:p>
            <w:pPr>
              <w:pStyle w:val="TableParagraph"/>
              <w:rPr>
                <w:sz w:val="20"/>
              </w:rPr>
            </w:pPr>
          </w:p>
        </w:tc>
      </w:tr>
      <w:tr>
        <w:trPr>
          <w:trHeight w:val="310" w:hRule="atLeast"/>
        </w:trPr>
        <w:tc>
          <w:tcPr>
            <w:tcW w:w="3525" w:type="dxa"/>
          </w:tcPr>
          <w:p>
            <w:pPr>
              <w:pStyle w:val="TableParagraph"/>
              <w:spacing w:before="25"/>
              <w:ind w:left="1003"/>
              <w:rPr>
                <w:sz w:val="22"/>
              </w:rPr>
            </w:pPr>
            <w:r>
              <w:rPr>
                <w:spacing w:val="-2"/>
                <w:sz w:val="22"/>
              </w:rPr>
              <w:t>Asian</w:t>
            </w:r>
          </w:p>
        </w:tc>
        <w:tc>
          <w:tcPr>
            <w:tcW w:w="1713" w:type="dxa"/>
          </w:tcPr>
          <w:p>
            <w:pPr>
              <w:pStyle w:val="TableParagraph"/>
              <w:spacing w:before="25"/>
              <w:ind w:left="58" w:right="59"/>
              <w:jc w:val="center"/>
              <w:rPr>
                <w:sz w:val="22"/>
              </w:rPr>
            </w:pPr>
            <w:r>
              <w:rPr>
                <w:spacing w:val="-2"/>
                <w:sz w:val="22"/>
              </w:rPr>
              <w:t>20.5%</w:t>
            </w:r>
          </w:p>
        </w:tc>
        <w:tc>
          <w:tcPr>
            <w:tcW w:w="1732" w:type="dxa"/>
          </w:tcPr>
          <w:p>
            <w:pPr>
              <w:pStyle w:val="TableParagraph"/>
              <w:spacing w:before="25"/>
              <w:ind w:left="53" w:right="82"/>
              <w:jc w:val="center"/>
              <w:rPr>
                <w:sz w:val="22"/>
              </w:rPr>
            </w:pPr>
            <w:r>
              <w:rPr>
                <w:spacing w:val="-2"/>
                <w:sz w:val="22"/>
              </w:rPr>
              <w:t>23.4%</w:t>
            </w:r>
          </w:p>
        </w:tc>
        <w:tc>
          <w:tcPr>
            <w:tcW w:w="903" w:type="dxa"/>
          </w:tcPr>
          <w:p>
            <w:pPr>
              <w:pStyle w:val="TableParagraph"/>
              <w:rPr>
                <w:sz w:val="20"/>
              </w:rPr>
            </w:pPr>
          </w:p>
        </w:tc>
      </w:tr>
      <w:tr>
        <w:trPr>
          <w:trHeight w:val="309" w:hRule="atLeast"/>
        </w:trPr>
        <w:tc>
          <w:tcPr>
            <w:tcW w:w="3525" w:type="dxa"/>
          </w:tcPr>
          <w:p>
            <w:pPr>
              <w:pStyle w:val="TableParagraph"/>
              <w:spacing w:before="24"/>
              <w:ind w:left="909"/>
              <w:rPr>
                <w:sz w:val="22"/>
              </w:rPr>
            </w:pPr>
            <w:r>
              <w:rPr>
                <w:spacing w:val="-2"/>
                <w:sz w:val="22"/>
              </w:rPr>
              <w:t>Hispanic</w:t>
            </w:r>
          </w:p>
        </w:tc>
        <w:tc>
          <w:tcPr>
            <w:tcW w:w="1713" w:type="dxa"/>
          </w:tcPr>
          <w:p>
            <w:pPr>
              <w:pStyle w:val="TableParagraph"/>
              <w:spacing w:before="24"/>
              <w:ind w:left="58" w:right="59"/>
              <w:jc w:val="center"/>
              <w:rPr>
                <w:sz w:val="22"/>
              </w:rPr>
            </w:pPr>
            <w:r>
              <w:rPr>
                <w:spacing w:val="-2"/>
                <w:sz w:val="22"/>
              </w:rPr>
              <w:t>22.9%</w:t>
            </w:r>
          </w:p>
        </w:tc>
        <w:tc>
          <w:tcPr>
            <w:tcW w:w="1732" w:type="dxa"/>
          </w:tcPr>
          <w:p>
            <w:pPr>
              <w:pStyle w:val="TableParagraph"/>
              <w:spacing w:before="24"/>
              <w:ind w:left="53" w:right="82"/>
              <w:jc w:val="center"/>
              <w:rPr>
                <w:sz w:val="22"/>
              </w:rPr>
            </w:pPr>
            <w:r>
              <w:rPr>
                <w:spacing w:val="-2"/>
                <w:sz w:val="22"/>
              </w:rPr>
              <w:t>13.5%</w:t>
            </w:r>
          </w:p>
        </w:tc>
        <w:tc>
          <w:tcPr>
            <w:tcW w:w="903" w:type="dxa"/>
          </w:tcPr>
          <w:p>
            <w:pPr>
              <w:pStyle w:val="TableParagraph"/>
              <w:rPr>
                <w:sz w:val="20"/>
              </w:rPr>
            </w:pPr>
          </w:p>
        </w:tc>
      </w:tr>
      <w:tr>
        <w:trPr>
          <w:trHeight w:val="309" w:hRule="atLeast"/>
        </w:trPr>
        <w:tc>
          <w:tcPr>
            <w:tcW w:w="3525" w:type="dxa"/>
          </w:tcPr>
          <w:p>
            <w:pPr>
              <w:pStyle w:val="TableParagraph"/>
              <w:spacing w:before="24"/>
              <w:ind w:left="854"/>
              <w:rPr>
                <w:sz w:val="22"/>
              </w:rPr>
            </w:pPr>
            <w:r>
              <w:rPr>
                <w:spacing w:val="-2"/>
                <w:sz w:val="22"/>
              </w:rPr>
              <w:t>Other</w:t>
            </w:r>
          </w:p>
        </w:tc>
        <w:tc>
          <w:tcPr>
            <w:tcW w:w="1713" w:type="dxa"/>
          </w:tcPr>
          <w:p>
            <w:pPr>
              <w:pStyle w:val="TableParagraph"/>
              <w:spacing w:before="24"/>
              <w:ind w:left="58" w:right="59"/>
              <w:jc w:val="center"/>
              <w:rPr>
                <w:sz w:val="22"/>
              </w:rPr>
            </w:pPr>
            <w:r>
              <w:rPr>
                <w:spacing w:val="-4"/>
                <w:sz w:val="22"/>
              </w:rPr>
              <w:t>1.2%</w:t>
            </w:r>
          </w:p>
        </w:tc>
        <w:tc>
          <w:tcPr>
            <w:tcW w:w="1732" w:type="dxa"/>
          </w:tcPr>
          <w:p>
            <w:pPr>
              <w:pStyle w:val="TableParagraph"/>
              <w:spacing w:before="24"/>
              <w:ind w:left="53" w:right="82"/>
              <w:jc w:val="center"/>
              <w:rPr>
                <w:sz w:val="22"/>
              </w:rPr>
            </w:pPr>
            <w:r>
              <w:rPr>
                <w:spacing w:val="-4"/>
                <w:sz w:val="22"/>
              </w:rPr>
              <w:t>5.4%</w:t>
            </w:r>
          </w:p>
        </w:tc>
        <w:tc>
          <w:tcPr>
            <w:tcW w:w="903" w:type="dxa"/>
          </w:tcPr>
          <w:p>
            <w:pPr>
              <w:pStyle w:val="TableParagraph"/>
              <w:rPr>
                <w:sz w:val="20"/>
              </w:rPr>
            </w:pPr>
          </w:p>
        </w:tc>
      </w:tr>
      <w:tr>
        <w:trPr>
          <w:trHeight w:val="309" w:hRule="atLeast"/>
        </w:trPr>
        <w:tc>
          <w:tcPr>
            <w:tcW w:w="3525" w:type="dxa"/>
          </w:tcPr>
          <w:p>
            <w:pPr>
              <w:pStyle w:val="TableParagraph"/>
              <w:spacing w:before="24"/>
              <w:ind w:left="107"/>
              <w:rPr>
                <w:sz w:val="22"/>
              </w:rPr>
            </w:pPr>
            <w:r>
              <w:rPr>
                <w:sz w:val="22"/>
              </w:rPr>
              <w:t>Sexually</w:t>
            </w:r>
            <w:r>
              <w:rPr>
                <w:spacing w:val="-5"/>
                <w:sz w:val="22"/>
              </w:rPr>
              <w:t> </w:t>
            </w:r>
            <w:r>
              <w:rPr>
                <w:spacing w:val="-2"/>
                <w:sz w:val="22"/>
              </w:rPr>
              <w:t>Active</w:t>
            </w:r>
          </w:p>
        </w:tc>
        <w:tc>
          <w:tcPr>
            <w:tcW w:w="1713" w:type="dxa"/>
          </w:tcPr>
          <w:p>
            <w:pPr>
              <w:pStyle w:val="TableParagraph"/>
              <w:spacing w:before="24"/>
              <w:ind w:left="58" w:right="59"/>
              <w:jc w:val="center"/>
              <w:rPr>
                <w:sz w:val="22"/>
              </w:rPr>
            </w:pPr>
            <w:r>
              <w:rPr>
                <w:spacing w:val="-2"/>
                <w:sz w:val="22"/>
              </w:rPr>
              <w:t>73.4%</w:t>
            </w:r>
          </w:p>
        </w:tc>
        <w:tc>
          <w:tcPr>
            <w:tcW w:w="1732" w:type="dxa"/>
          </w:tcPr>
          <w:p>
            <w:pPr>
              <w:pStyle w:val="TableParagraph"/>
              <w:spacing w:before="24"/>
              <w:ind w:left="53" w:right="82"/>
              <w:jc w:val="center"/>
              <w:rPr>
                <w:sz w:val="22"/>
              </w:rPr>
            </w:pPr>
            <w:r>
              <w:rPr>
                <w:spacing w:val="-2"/>
                <w:sz w:val="22"/>
              </w:rPr>
              <w:t>81.6%</w:t>
            </w:r>
          </w:p>
        </w:tc>
        <w:tc>
          <w:tcPr>
            <w:tcW w:w="903" w:type="dxa"/>
          </w:tcPr>
          <w:p>
            <w:pPr>
              <w:pStyle w:val="TableParagraph"/>
              <w:spacing w:before="24"/>
              <w:ind w:right="30"/>
              <w:jc w:val="center"/>
              <w:rPr>
                <w:sz w:val="22"/>
              </w:rPr>
            </w:pPr>
            <w:r>
              <w:rPr>
                <w:spacing w:val="-4"/>
                <w:sz w:val="22"/>
              </w:rPr>
              <w:t>1.55</w:t>
            </w:r>
          </w:p>
        </w:tc>
      </w:tr>
      <w:tr>
        <w:trPr>
          <w:trHeight w:val="452" w:hRule="atLeast"/>
        </w:trPr>
        <w:tc>
          <w:tcPr>
            <w:tcW w:w="3525" w:type="dxa"/>
          </w:tcPr>
          <w:p>
            <w:pPr>
              <w:pStyle w:val="TableParagraph"/>
              <w:spacing w:before="24"/>
              <w:ind w:left="107"/>
              <w:rPr>
                <w:sz w:val="22"/>
              </w:rPr>
            </w:pPr>
            <w:r>
              <w:rPr>
                <w:sz w:val="22"/>
              </w:rPr>
              <w:t>Ever</w:t>
            </w:r>
            <w:r>
              <w:rPr>
                <w:spacing w:val="-2"/>
                <w:sz w:val="22"/>
              </w:rPr>
              <w:t> </w:t>
            </w:r>
            <w:r>
              <w:rPr>
                <w:sz w:val="22"/>
              </w:rPr>
              <w:t>taken</w:t>
            </w:r>
            <w:r>
              <w:rPr>
                <w:spacing w:val="-2"/>
                <w:sz w:val="22"/>
              </w:rPr>
              <w:t> </w:t>
            </w:r>
            <w:r>
              <w:rPr>
                <w:sz w:val="22"/>
              </w:rPr>
              <w:t>EC/</w:t>
            </w:r>
            <w:r>
              <w:rPr>
                <w:spacing w:val="-2"/>
                <w:sz w:val="22"/>
              </w:rPr>
              <w:t> </w:t>
            </w:r>
            <w:r>
              <w:rPr>
                <w:sz w:val="22"/>
              </w:rPr>
              <w:t>partner</w:t>
            </w:r>
            <w:r>
              <w:rPr>
                <w:spacing w:val="-4"/>
                <w:sz w:val="22"/>
              </w:rPr>
              <w:t> </w:t>
            </w:r>
            <w:r>
              <w:rPr>
                <w:sz w:val="22"/>
              </w:rPr>
              <w:t>had</w:t>
            </w:r>
            <w:r>
              <w:rPr>
                <w:spacing w:val="-5"/>
                <w:sz w:val="22"/>
              </w:rPr>
              <w:t> </w:t>
            </w:r>
            <w:r>
              <w:rPr>
                <w:sz w:val="22"/>
              </w:rPr>
              <w:t>taken</w:t>
            </w:r>
            <w:r>
              <w:rPr>
                <w:spacing w:val="-2"/>
                <w:sz w:val="22"/>
              </w:rPr>
              <w:t> </w:t>
            </w:r>
            <w:r>
              <w:rPr>
                <w:spacing w:val="-5"/>
                <w:sz w:val="22"/>
              </w:rPr>
              <w:t>EC</w:t>
            </w:r>
          </w:p>
        </w:tc>
        <w:tc>
          <w:tcPr>
            <w:tcW w:w="1713" w:type="dxa"/>
          </w:tcPr>
          <w:p>
            <w:pPr>
              <w:pStyle w:val="TableParagraph"/>
              <w:spacing w:before="24"/>
              <w:ind w:left="58" w:right="59"/>
              <w:jc w:val="center"/>
              <w:rPr>
                <w:sz w:val="22"/>
              </w:rPr>
            </w:pPr>
            <w:r>
              <w:rPr>
                <w:spacing w:val="-2"/>
                <w:sz w:val="22"/>
              </w:rPr>
              <w:t>40.0%</w:t>
            </w:r>
          </w:p>
        </w:tc>
        <w:tc>
          <w:tcPr>
            <w:tcW w:w="1732" w:type="dxa"/>
          </w:tcPr>
          <w:p>
            <w:pPr>
              <w:pStyle w:val="TableParagraph"/>
              <w:spacing w:before="24"/>
              <w:ind w:left="53" w:right="82"/>
              <w:jc w:val="center"/>
              <w:rPr>
                <w:sz w:val="22"/>
              </w:rPr>
            </w:pPr>
            <w:r>
              <w:rPr>
                <w:spacing w:val="-2"/>
                <w:sz w:val="22"/>
              </w:rPr>
              <w:t>58.3%</w:t>
            </w:r>
          </w:p>
        </w:tc>
        <w:tc>
          <w:tcPr>
            <w:tcW w:w="903" w:type="dxa"/>
          </w:tcPr>
          <w:p>
            <w:pPr>
              <w:pStyle w:val="TableParagraph"/>
              <w:spacing w:before="24"/>
              <w:ind w:left="5" w:right="30"/>
              <w:jc w:val="center"/>
              <w:rPr>
                <w:sz w:val="22"/>
              </w:rPr>
            </w:pPr>
            <w:r>
              <w:rPr>
                <w:spacing w:val="-2"/>
                <w:sz w:val="22"/>
              </w:rPr>
              <w:t>4.62*</w:t>
            </w:r>
          </w:p>
        </w:tc>
      </w:tr>
      <w:tr>
        <w:trPr>
          <w:trHeight w:val="593" w:hRule="atLeast"/>
        </w:trPr>
        <w:tc>
          <w:tcPr>
            <w:tcW w:w="3525" w:type="dxa"/>
          </w:tcPr>
          <w:p>
            <w:pPr>
              <w:pStyle w:val="TableParagraph"/>
              <w:spacing w:before="166"/>
              <w:ind w:left="107"/>
              <w:rPr>
                <w:sz w:val="22"/>
              </w:rPr>
            </w:pPr>
            <w:r>
              <w:rPr>
                <w:sz w:val="22"/>
              </w:rPr>
              <w:t>Experienced</w:t>
            </w:r>
            <w:r>
              <w:rPr>
                <w:spacing w:val="-6"/>
                <w:sz w:val="22"/>
              </w:rPr>
              <w:t> </w:t>
            </w:r>
            <w:r>
              <w:rPr>
                <w:sz w:val="22"/>
              </w:rPr>
              <w:t>an</w:t>
            </w:r>
            <w:r>
              <w:rPr>
                <w:spacing w:val="-6"/>
                <w:sz w:val="22"/>
              </w:rPr>
              <w:t> </w:t>
            </w:r>
            <w:r>
              <w:rPr>
                <w:sz w:val="22"/>
              </w:rPr>
              <w:t>unplanned</w:t>
            </w:r>
            <w:r>
              <w:rPr>
                <w:spacing w:val="-5"/>
                <w:sz w:val="22"/>
              </w:rPr>
              <w:t> </w:t>
            </w:r>
            <w:r>
              <w:rPr>
                <w:spacing w:val="-2"/>
                <w:sz w:val="22"/>
              </w:rPr>
              <w:t>pregnancy</w:t>
            </w:r>
          </w:p>
        </w:tc>
        <w:tc>
          <w:tcPr>
            <w:tcW w:w="1713" w:type="dxa"/>
          </w:tcPr>
          <w:p>
            <w:pPr>
              <w:pStyle w:val="TableParagraph"/>
              <w:spacing w:before="166"/>
              <w:ind w:left="58" w:right="59"/>
              <w:jc w:val="center"/>
              <w:rPr>
                <w:sz w:val="22"/>
              </w:rPr>
            </w:pPr>
            <w:r>
              <w:rPr>
                <w:spacing w:val="-2"/>
                <w:sz w:val="22"/>
              </w:rPr>
              <w:t>12.8%</w:t>
            </w:r>
          </w:p>
        </w:tc>
        <w:tc>
          <w:tcPr>
            <w:tcW w:w="1732" w:type="dxa"/>
          </w:tcPr>
          <w:p>
            <w:pPr>
              <w:pStyle w:val="TableParagraph"/>
              <w:spacing w:before="166"/>
              <w:ind w:left="53" w:right="82"/>
              <w:jc w:val="center"/>
              <w:rPr>
                <w:sz w:val="22"/>
              </w:rPr>
            </w:pPr>
            <w:r>
              <w:rPr>
                <w:spacing w:val="-4"/>
                <w:sz w:val="22"/>
              </w:rPr>
              <w:t>8.7%</w:t>
            </w:r>
          </w:p>
        </w:tc>
        <w:tc>
          <w:tcPr>
            <w:tcW w:w="903" w:type="dxa"/>
          </w:tcPr>
          <w:p>
            <w:pPr>
              <w:pStyle w:val="TableParagraph"/>
              <w:spacing w:before="166"/>
              <w:ind w:right="30"/>
              <w:jc w:val="center"/>
              <w:rPr>
                <w:sz w:val="22"/>
              </w:rPr>
            </w:pPr>
            <w:r>
              <w:rPr>
                <w:spacing w:val="-5"/>
                <w:sz w:val="22"/>
              </w:rPr>
              <w:t>.18</w:t>
            </w:r>
          </w:p>
        </w:tc>
      </w:tr>
      <w:tr>
        <w:trPr>
          <w:trHeight w:val="451" w:hRule="atLeast"/>
        </w:trPr>
        <w:tc>
          <w:tcPr>
            <w:tcW w:w="3525" w:type="dxa"/>
          </w:tcPr>
          <w:p>
            <w:pPr>
              <w:pStyle w:val="TableParagraph"/>
              <w:spacing w:before="165"/>
              <w:ind w:left="107"/>
              <w:rPr>
                <w:sz w:val="22"/>
              </w:rPr>
            </w:pPr>
            <w:r>
              <w:rPr>
                <w:sz w:val="22"/>
              </w:rPr>
              <w:t>Experienced</w:t>
            </w:r>
            <w:r>
              <w:rPr>
                <w:spacing w:val="-3"/>
                <w:sz w:val="22"/>
              </w:rPr>
              <w:t> </w:t>
            </w:r>
            <w:r>
              <w:rPr>
                <w:sz w:val="22"/>
              </w:rPr>
              <w:t>an</w:t>
            </w:r>
            <w:r>
              <w:rPr>
                <w:spacing w:val="-4"/>
                <w:sz w:val="22"/>
              </w:rPr>
              <w:t> </w:t>
            </w:r>
            <w:r>
              <w:rPr>
                <w:spacing w:val="-2"/>
                <w:sz w:val="22"/>
              </w:rPr>
              <w:t>abortion</w:t>
            </w:r>
          </w:p>
        </w:tc>
        <w:tc>
          <w:tcPr>
            <w:tcW w:w="1713" w:type="dxa"/>
          </w:tcPr>
          <w:p>
            <w:pPr>
              <w:pStyle w:val="TableParagraph"/>
              <w:spacing w:before="165"/>
              <w:ind w:left="58" w:right="59"/>
              <w:jc w:val="center"/>
              <w:rPr>
                <w:sz w:val="22"/>
              </w:rPr>
            </w:pPr>
            <w:r>
              <w:rPr>
                <w:spacing w:val="-4"/>
                <w:sz w:val="22"/>
              </w:rPr>
              <w:t>9.5%</w:t>
            </w:r>
          </w:p>
        </w:tc>
        <w:tc>
          <w:tcPr>
            <w:tcW w:w="1732" w:type="dxa"/>
          </w:tcPr>
          <w:p>
            <w:pPr>
              <w:pStyle w:val="TableParagraph"/>
              <w:spacing w:before="165"/>
              <w:ind w:left="53" w:right="82"/>
              <w:jc w:val="center"/>
              <w:rPr>
                <w:sz w:val="22"/>
              </w:rPr>
            </w:pPr>
            <w:r>
              <w:rPr>
                <w:spacing w:val="-2"/>
                <w:sz w:val="22"/>
              </w:rPr>
              <w:t>10.3%</w:t>
            </w:r>
          </w:p>
        </w:tc>
        <w:tc>
          <w:tcPr>
            <w:tcW w:w="903" w:type="dxa"/>
          </w:tcPr>
          <w:p>
            <w:pPr>
              <w:pStyle w:val="TableParagraph"/>
              <w:spacing w:before="165"/>
              <w:ind w:right="30"/>
              <w:jc w:val="center"/>
              <w:rPr>
                <w:sz w:val="22"/>
              </w:rPr>
            </w:pPr>
            <w:r>
              <w:rPr>
                <w:spacing w:val="-4"/>
                <w:sz w:val="22"/>
              </w:rPr>
              <w:t>1.83</w:t>
            </w:r>
          </w:p>
        </w:tc>
      </w:tr>
      <w:tr>
        <w:trPr>
          <w:trHeight w:val="281" w:hRule="atLeast"/>
        </w:trPr>
        <w:tc>
          <w:tcPr>
            <w:tcW w:w="3525" w:type="dxa"/>
          </w:tcPr>
          <w:p>
            <w:pPr>
              <w:pStyle w:val="TableParagraph"/>
              <w:spacing w:line="238" w:lineRule="exact" w:before="24"/>
              <w:ind w:left="107"/>
              <w:rPr>
                <w:sz w:val="22"/>
              </w:rPr>
            </w:pPr>
            <w:r>
              <w:rPr>
                <w:sz w:val="22"/>
              </w:rPr>
              <w:t>High</w:t>
            </w:r>
            <w:r>
              <w:rPr>
                <w:spacing w:val="-2"/>
                <w:sz w:val="22"/>
              </w:rPr>
              <w:t> </w:t>
            </w:r>
            <w:r>
              <w:rPr>
                <w:sz w:val="22"/>
              </w:rPr>
              <w:t>school</w:t>
            </w:r>
            <w:r>
              <w:rPr>
                <w:spacing w:val="-1"/>
                <w:sz w:val="22"/>
              </w:rPr>
              <w:t> </w:t>
            </w:r>
            <w:r>
              <w:rPr>
                <w:spacing w:val="-5"/>
                <w:sz w:val="22"/>
              </w:rPr>
              <w:t>GPA</w:t>
            </w:r>
          </w:p>
        </w:tc>
        <w:tc>
          <w:tcPr>
            <w:tcW w:w="1713" w:type="dxa"/>
          </w:tcPr>
          <w:p>
            <w:pPr>
              <w:pStyle w:val="TableParagraph"/>
              <w:spacing w:line="238" w:lineRule="exact" w:before="24"/>
              <w:ind w:left="163"/>
              <w:rPr>
                <w:sz w:val="22"/>
              </w:rPr>
            </w:pPr>
            <w:r>
              <w:rPr>
                <w:sz w:val="22"/>
              </w:rPr>
              <w:t>3.19 </w:t>
            </w:r>
            <w:r>
              <w:rPr>
                <w:spacing w:val="-2"/>
                <w:sz w:val="22"/>
              </w:rPr>
              <w:t>(SD=0.60)</w:t>
            </w:r>
          </w:p>
        </w:tc>
        <w:tc>
          <w:tcPr>
            <w:tcW w:w="1732" w:type="dxa"/>
          </w:tcPr>
          <w:p>
            <w:pPr>
              <w:pStyle w:val="TableParagraph"/>
              <w:spacing w:line="238" w:lineRule="exact" w:before="24"/>
              <w:ind w:left="161"/>
              <w:rPr>
                <w:sz w:val="22"/>
              </w:rPr>
            </w:pPr>
            <w:r>
              <w:rPr>
                <w:sz w:val="22"/>
              </w:rPr>
              <w:t>3.09 </w:t>
            </w:r>
            <w:r>
              <w:rPr>
                <w:spacing w:val="-2"/>
                <w:sz w:val="22"/>
              </w:rPr>
              <w:t>(SD=0.43)</w:t>
            </w:r>
          </w:p>
        </w:tc>
        <w:tc>
          <w:tcPr>
            <w:tcW w:w="903" w:type="dxa"/>
          </w:tcPr>
          <w:p>
            <w:pPr>
              <w:pStyle w:val="TableParagraph"/>
              <w:spacing w:line="238" w:lineRule="exact" w:before="24"/>
              <w:ind w:right="30"/>
              <w:jc w:val="center"/>
              <w:rPr>
                <w:sz w:val="22"/>
              </w:rPr>
            </w:pPr>
            <w:r>
              <w:rPr>
                <w:spacing w:val="-4"/>
                <w:sz w:val="22"/>
              </w:rPr>
              <w:t>1.17</w:t>
            </w:r>
          </w:p>
        </w:tc>
      </w:tr>
      <w:tr>
        <w:trPr>
          <w:trHeight w:val="254" w:hRule="atLeast"/>
        </w:trPr>
        <w:tc>
          <w:tcPr>
            <w:tcW w:w="3525" w:type="dxa"/>
            <w:tcBorders>
              <w:bottom w:val="single" w:sz="4" w:space="0" w:color="000000"/>
            </w:tcBorders>
          </w:tcPr>
          <w:p>
            <w:pPr>
              <w:pStyle w:val="TableParagraph"/>
              <w:spacing w:line="234" w:lineRule="exact"/>
              <w:ind w:left="107"/>
              <w:rPr>
                <w:sz w:val="22"/>
              </w:rPr>
            </w:pPr>
            <w:r>
              <w:rPr>
                <w:spacing w:val="-5"/>
                <w:sz w:val="22"/>
              </w:rPr>
              <w:t>Age</w:t>
            </w:r>
          </w:p>
        </w:tc>
        <w:tc>
          <w:tcPr>
            <w:tcW w:w="1713" w:type="dxa"/>
            <w:tcBorders>
              <w:bottom w:val="single" w:sz="4" w:space="0" w:color="000000"/>
            </w:tcBorders>
          </w:tcPr>
          <w:p>
            <w:pPr>
              <w:pStyle w:val="TableParagraph"/>
              <w:spacing w:line="234" w:lineRule="exact"/>
              <w:ind w:left="108"/>
              <w:rPr>
                <w:sz w:val="22"/>
              </w:rPr>
            </w:pPr>
            <w:r>
              <w:rPr>
                <w:sz w:val="22"/>
              </w:rPr>
              <w:t>22.35 </w:t>
            </w:r>
            <w:r>
              <w:rPr>
                <w:spacing w:val="-2"/>
                <w:sz w:val="22"/>
              </w:rPr>
              <w:t>(SD=7.23)</w:t>
            </w:r>
          </w:p>
        </w:tc>
        <w:tc>
          <w:tcPr>
            <w:tcW w:w="1732" w:type="dxa"/>
            <w:tcBorders>
              <w:bottom w:val="single" w:sz="4" w:space="0" w:color="000000"/>
            </w:tcBorders>
          </w:tcPr>
          <w:p>
            <w:pPr>
              <w:pStyle w:val="TableParagraph"/>
              <w:spacing w:line="234" w:lineRule="exact"/>
              <w:ind w:left="106"/>
              <w:rPr>
                <w:sz w:val="22"/>
              </w:rPr>
            </w:pPr>
            <w:r>
              <w:rPr>
                <w:sz w:val="22"/>
              </w:rPr>
              <w:t>20.25 </w:t>
            </w:r>
            <w:r>
              <w:rPr>
                <w:spacing w:val="-2"/>
                <w:sz w:val="22"/>
              </w:rPr>
              <w:t>(SD=2.40)</w:t>
            </w:r>
          </w:p>
        </w:tc>
        <w:tc>
          <w:tcPr>
            <w:tcW w:w="903" w:type="dxa"/>
            <w:tcBorders>
              <w:bottom w:val="single" w:sz="4" w:space="0" w:color="000000"/>
            </w:tcBorders>
          </w:tcPr>
          <w:p>
            <w:pPr>
              <w:pStyle w:val="TableParagraph"/>
              <w:spacing w:line="234" w:lineRule="exact"/>
              <w:ind w:left="5" w:right="30"/>
              <w:jc w:val="center"/>
              <w:rPr>
                <w:sz w:val="22"/>
              </w:rPr>
            </w:pPr>
            <w:r>
              <w:rPr>
                <w:spacing w:val="-2"/>
                <w:sz w:val="22"/>
              </w:rPr>
              <w:t>2.70**</w:t>
            </w:r>
          </w:p>
        </w:tc>
      </w:tr>
      <w:tr>
        <w:trPr>
          <w:trHeight w:val="246" w:hRule="atLeast"/>
        </w:trPr>
        <w:tc>
          <w:tcPr>
            <w:tcW w:w="3525" w:type="dxa"/>
            <w:tcBorders>
              <w:top w:val="single" w:sz="4" w:space="0" w:color="000000"/>
            </w:tcBorders>
          </w:tcPr>
          <w:p>
            <w:pPr>
              <w:pStyle w:val="TableParagraph"/>
              <w:spacing w:line="227" w:lineRule="exact"/>
              <w:ind w:left="107"/>
              <w:rPr>
                <w:sz w:val="22"/>
              </w:rPr>
            </w:pPr>
            <w:r>
              <w:rPr>
                <w:sz w:val="22"/>
              </w:rPr>
              <w:t>*p&lt;.05;</w:t>
            </w:r>
            <w:r>
              <w:rPr>
                <w:spacing w:val="-3"/>
                <w:sz w:val="22"/>
              </w:rPr>
              <w:t> </w:t>
            </w:r>
            <w:r>
              <w:rPr>
                <w:sz w:val="22"/>
              </w:rPr>
              <w:t>**p&lt;.01;</w:t>
            </w:r>
            <w:r>
              <w:rPr>
                <w:spacing w:val="-4"/>
                <w:sz w:val="22"/>
              </w:rPr>
              <w:t> </w:t>
            </w:r>
            <w:r>
              <w:rPr>
                <w:spacing w:val="-2"/>
                <w:sz w:val="22"/>
              </w:rPr>
              <w:t>***p&lt;.001</w:t>
            </w:r>
          </w:p>
        </w:tc>
        <w:tc>
          <w:tcPr>
            <w:tcW w:w="1713" w:type="dxa"/>
            <w:tcBorders>
              <w:top w:val="single" w:sz="4" w:space="0" w:color="000000"/>
            </w:tcBorders>
          </w:tcPr>
          <w:p>
            <w:pPr>
              <w:pStyle w:val="TableParagraph"/>
              <w:rPr>
                <w:sz w:val="16"/>
              </w:rPr>
            </w:pPr>
          </w:p>
        </w:tc>
        <w:tc>
          <w:tcPr>
            <w:tcW w:w="1732" w:type="dxa"/>
            <w:tcBorders>
              <w:top w:val="single" w:sz="4" w:space="0" w:color="000000"/>
            </w:tcBorders>
          </w:tcPr>
          <w:p>
            <w:pPr>
              <w:pStyle w:val="TableParagraph"/>
              <w:rPr>
                <w:sz w:val="16"/>
              </w:rPr>
            </w:pPr>
          </w:p>
        </w:tc>
        <w:tc>
          <w:tcPr>
            <w:tcW w:w="903" w:type="dxa"/>
            <w:tcBorders>
              <w:top w:val="single" w:sz="4" w:space="0" w:color="000000"/>
            </w:tcBorders>
          </w:tcPr>
          <w:p>
            <w:pPr>
              <w:pStyle w:val="TableParagraph"/>
              <w:rPr>
                <w:sz w:val="16"/>
              </w:rPr>
            </w:pPr>
          </w:p>
        </w:tc>
      </w:tr>
    </w:tbl>
    <w:p>
      <w:pPr>
        <w:spacing w:after="0"/>
        <w:rPr>
          <w:sz w:val="16"/>
        </w:rPr>
        <w:sectPr>
          <w:type w:val="continuous"/>
          <w:pgSz w:w="12240" w:h="15840"/>
          <w:pgMar w:header="699" w:footer="794" w:top="1340" w:bottom="980" w:left="1320" w:right="1320"/>
        </w:sectPr>
      </w:pPr>
    </w:p>
    <w:p>
      <w:pPr>
        <w:pStyle w:val="BodyText"/>
        <w:spacing w:before="119"/>
        <w:ind w:left="0"/>
        <w:rPr>
          <w:sz w:val="20"/>
        </w:rPr>
      </w:pPr>
    </w:p>
    <w:tbl>
      <w:tblPr>
        <w:tblW w:w="0" w:type="auto"/>
        <w:jc w:val="left"/>
        <w:tblInd w:w="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74"/>
        <w:gridCol w:w="1350"/>
        <w:gridCol w:w="1326"/>
        <w:gridCol w:w="1604"/>
        <w:gridCol w:w="972"/>
      </w:tblGrid>
      <w:tr>
        <w:trPr>
          <w:trHeight w:val="1005" w:hRule="atLeast"/>
        </w:trPr>
        <w:tc>
          <w:tcPr>
            <w:tcW w:w="8926" w:type="dxa"/>
            <w:gridSpan w:val="5"/>
            <w:tcBorders>
              <w:bottom w:val="single" w:sz="4" w:space="0" w:color="000000"/>
            </w:tcBorders>
          </w:tcPr>
          <w:p>
            <w:pPr>
              <w:pStyle w:val="TableParagraph"/>
              <w:spacing w:line="244" w:lineRule="exact"/>
              <w:ind w:left="137" w:right="137"/>
              <w:jc w:val="center"/>
              <w:rPr>
                <w:b/>
                <w:sz w:val="22"/>
              </w:rPr>
            </w:pPr>
            <w:r>
              <w:rPr>
                <w:b/>
                <w:sz w:val="22"/>
              </w:rPr>
              <w:t>Table</w:t>
            </w:r>
            <w:r>
              <w:rPr>
                <w:b/>
                <w:spacing w:val="-1"/>
                <w:sz w:val="22"/>
              </w:rPr>
              <w:t> </w:t>
            </w:r>
            <w:r>
              <w:rPr>
                <w:b/>
                <w:spacing w:val="-5"/>
                <w:sz w:val="22"/>
              </w:rPr>
              <w:t>2.</w:t>
            </w:r>
          </w:p>
          <w:p>
            <w:pPr>
              <w:pStyle w:val="TableParagraph"/>
              <w:spacing w:line="250" w:lineRule="atLeast" w:before="235"/>
              <w:ind w:left="137" w:right="137"/>
              <w:jc w:val="center"/>
              <w:rPr>
                <w:sz w:val="22"/>
              </w:rPr>
            </w:pPr>
            <w:r>
              <w:rPr>
                <w:sz w:val="22"/>
              </w:rPr>
              <w:t>Logistic</w:t>
            </w:r>
            <w:r>
              <w:rPr>
                <w:spacing w:val="-2"/>
                <w:sz w:val="22"/>
              </w:rPr>
              <w:t> </w:t>
            </w:r>
            <w:r>
              <w:rPr>
                <w:sz w:val="22"/>
              </w:rPr>
              <w:t>Regression</w:t>
            </w:r>
            <w:r>
              <w:rPr>
                <w:spacing w:val="-2"/>
                <w:sz w:val="22"/>
              </w:rPr>
              <w:t> </w:t>
            </w:r>
            <w:r>
              <w:rPr>
                <w:sz w:val="22"/>
              </w:rPr>
              <w:t>Results</w:t>
            </w:r>
            <w:r>
              <w:rPr>
                <w:spacing w:val="-2"/>
                <w:sz w:val="22"/>
              </w:rPr>
              <w:t> </w:t>
            </w:r>
            <w:r>
              <w:rPr>
                <w:sz w:val="22"/>
              </w:rPr>
              <w:t>for</w:t>
            </w:r>
            <w:r>
              <w:rPr>
                <w:spacing w:val="-1"/>
                <w:sz w:val="22"/>
              </w:rPr>
              <w:t> </w:t>
            </w:r>
            <w:r>
              <w:rPr>
                <w:sz w:val="22"/>
              </w:rPr>
              <w:t>Intentions</w:t>
            </w:r>
            <w:r>
              <w:rPr>
                <w:spacing w:val="-4"/>
                <w:sz w:val="22"/>
              </w:rPr>
              <w:t> </w:t>
            </w:r>
            <w:r>
              <w:rPr>
                <w:sz w:val="22"/>
              </w:rPr>
              <w:t>to</w:t>
            </w:r>
            <w:r>
              <w:rPr>
                <w:spacing w:val="-2"/>
                <w:sz w:val="22"/>
              </w:rPr>
              <w:t> </w:t>
            </w:r>
            <w:r>
              <w:rPr>
                <w:sz w:val="22"/>
              </w:rPr>
              <w:t>Use</w:t>
            </w:r>
            <w:r>
              <w:rPr>
                <w:spacing w:val="-2"/>
                <w:sz w:val="22"/>
              </w:rPr>
              <w:t> </w:t>
            </w:r>
            <w:r>
              <w:rPr>
                <w:sz w:val="22"/>
              </w:rPr>
              <w:t>EC</w:t>
            </w:r>
            <w:r>
              <w:rPr>
                <w:spacing w:val="-6"/>
                <w:sz w:val="22"/>
              </w:rPr>
              <w:t> </w:t>
            </w:r>
            <w:r>
              <w:rPr>
                <w:sz w:val="22"/>
              </w:rPr>
              <w:t>for</w:t>
            </w:r>
            <w:r>
              <w:rPr>
                <w:spacing w:val="-1"/>
                <w:sz w:val="22"/>
              </w:rPr>
              <w:t> </w:t>
            </w:r>
            <w:r>
              <w:rPr>
                <w:sz w:val="22"/>
              </w:rPr>
              <w:t>Females</w:t>
            </w:r>
            <w:r>
              <w:rPr>
                <w:spacing w:val="-4"/>
                <w:sz w:val="22"/>
              </w:rPr>
              <w:t> </w:t>
            </w:r>
            <w:r>
              <w:rPr>
                <w:sz w:val="22"/>
              </w:rPr>
              <w:t>and</w:t>
            </w:r>
            <w:r>
              <w:rPr>
                <w:spacing w:val="-2"/>
                <w:sz w:val="22"/>
              </w:rPr>
              <w:t> </w:t>
            </w:r>
            <w:r>
              <w:rPr>
                <w:sz w:val="22"/>
              </w:rPr>
              <w:t>Intentions</w:t>
            </w:r>
            <w:r>
              <w:rPr>
                <w:spacing w:val="-4"/>
                <w:sz w:val="22"/>
              </w:rPr>
              <w:t> </w:t>
            </w:r>
            <w:r>
              <w:rPr>
                <w:sz w:val="22"/>
              </w:rPr>
              <w:t>to</w:t>
            </w:r>
            <w:r>
              <w:rPr>
                <w:spacing w:val="-2"/>
                <w:sz w:val="22"/>
              </w:rPr>
              <w:t> </w:t>
            </w:r>
            <w:r>
              <w:rPr>
                <w:sz w:val="22"/>
              </w:rPr>
              <w:t>Support</w:t>
            </w:r>
            <w:r>
              <w:rPr>
                <w:spacing w:val="-1"/>
                <w:sz w:val="22"/>
              </w:rPr>
              <w:t> </w:t>
            </w:r>
            <w:r>
              <w:rPr>
                <w:sz w:val="22"/>
              </w:rPr>
              <w:t>EC Use for Males</w:t>
            </w:r>
          </w:p>
        </w:tc>
      </w:tr>
      <w:tr>
        <w:trPr>
          <w:trHeight w:val="333" w:hRule="atLeast"/>
        </w:trPr>
        <w:tc>
          <w:tcPr>
            <w:tcW w:w="3674" w:type="dxa"/>
            <w:tcBorders>
              <w:top w:val="single" w:sz="4" w:space="0" w:color="000000"/>
              <w:bottom w:val="single" w:sz="12" w:space="0" w:color="000000"/>
            </w:tcBorders>
          </w:tcPr>
          <w:p>
            <w:pPr>
              <w:pStyle w:val="TableParagraph"/>
              <w:rPr>
                <w:sz w:val="20"/>
              </w:rPr>
            </w:pPr>
          </w:p>
        </w:tc>
        <w:tc>
          <w:tcPr>
            <w:tcW w:w="2676" w:type="dxa"/>
            <w:gridSpan w:val="2"/>
            <w:tcBorders>
              <w:top w:val="single" w:sz="4" w:space="0" w:color="000000"/>
              <w:bottom w:val="single" w:sz="12" w:space="0" w:color="000000"/>
            </w:tcBorders>
          </w:tcPr>
          <w:p>
            <w:pPr>
              <w:pStyle w:val="TableParagraph"/>
              <w:spacing w:line="247" w:lineRule="exact"/>
              <w:ind w:right="1"/>
              <w:jc w:val="center"/>
              <w:rPr>
                <w:sz w:val="22"/>
              </w:rPr>
            </w:pPr>
            <w:r>
              <w:rPr>
                <w:spacing w:val="-2"/>
                <w:sz w:val="22"/>
              </w:rPr>
              <w:t>Females</w:t>
            </w:r>
          </w:p>
        </w:tc>
        <w:tc>
          <w:tcPr>
            <w:tcW w:w="1604" w:type="dxa"/>
            <w:tcBorders>
              <w:top w:val="single" w:sz="4" w:space="0" w:color="000000"/>
              <w:bottom w:val="single" w:sz="12" w:space="0" w:color="000000"/>
            </w:tcBorders>
          </w:tcPr>
          <w:p>
            <w:pPr>
              <w:pStyle w:val="TableParagraph"/>
              <w:spacing w:line="247" w:lineRule="exact"/>
              <w:ind w:left="1046"/>
              <w:rPr>
                <w:sz w:val="22"/>
              </w:rPr>
            </w:pPr>
            <w:r>
              <w:rPr>
                <w:spacing w:val="-2"/>
                <w:sz w:val="22"/>
              </w:rPr>
              <w:t>Males</w:t>
            </w:r>
          </w:p>
        </w:tc>
        <w:tc>
          <w:tcPr>
            <w:tcW w:w="972" w:type="dxa"/>
            <w:tcBorders>
              <w:top w:val="single" w:sz="4" w:space="0" w:color="000000"/>
              <w:bottom w:val="single" w:sz="12" w:space="0" w:color="000000"/>
            </w:tcBorders>
          </w:tcPr>
          <w:p>
            <w:pPr>
              <w:pStyle w:val="TableParagraph"/>
              <w:rPr>
                <w:sz w:val="20"/>
              </w:rPr>
            </w:pPr>
          </w:p>
        </w:tc>
      </w:tr>
      <w:tr>
        <w:trPr>
          <w:trHeight w:val="516" w:hRule="atLeast"/>
        </w:trPr>
        <w:tc>
          <w:tcPr>
            <w:tcW w:w="3674" w:type="dxa"/>
            <w:tcBorders>
              <w:top w:val="single" w:sz="12" w:space="0" w:color="000000"/>
              <w:bottom w:val="single" w:sz="4" w:space="0" w:color="000000"/>
            </w:tcBorders>
          </w:tcPr>
          <w:p>
            <w:pPr>
              <w:pStyle w:val="TableParagraph"/>
              <w:spacing w:line="246" w:lineRule="exact"/>
              <w:ind w:left="108"/>
              <w:rPr>
                <w:i/>
                <w:sz w:val="22"/>
              </w:rPr>
            </w:pPr>
            <w:r>
              <w:rPr>
                <w:i/>
                <w:spacing w:val="-2"/>
                <w:sz w:val="22"/>
              </w:rPr>
              <w:t>Knowledge</w:t>
            </w:r>
          </w:p>
        </w:tc>
        <w:tc>
          <w:tcPr>
            <w:tcW w:w="1350" w:type="dxa"/>
            <w:tcBorders>
              <w:top w:val="single" w:sz="12" w:space="0" w:color="000000"/>
              <w:bottom w:val="single" w:sz="4" w:space="0" w:color="000000"/>
            </w:tcBorders>
          </w:tcPr>
          <w:p>
            <w:pPr>
              <w:pStyle w:val="TableParagraph"/>
              <w:spacing w:line="246" w:lineRule="exact"/>
              <w:ind w:right="186"/>
              <w:jc w:val="right"/>
              <w:rPr>
                <w:sz w:val="22"/>
              </w:rPr>
            </w:pPr>
            <w:r>
              <w:rPr>
                <w:spacing w:val="-5"/>
                <w:sz w:val="22"/>
              </w:rPr>
              <w:t>OR</w:t>
            </w:r>
          </w:p>
          <w:p>
            <w:pPr>
              <w:pStyle w:val="TableParagraph"/>
              <w:spacing w:line="238" w:lineRule="exact" w:before="1"/>
              <w:ind w:right="182"/>
              <w:jc w:val="right"/>
              <w:rPr>
                <w:sz w:val="22"/>
              </w:rPr>
            </w:pPr>
            <w:r>
              <w:rPr>
                <w:sz w:val="22"/>
              </w:rPr>
              <w:t>95%</w:t>
            </w:r>
            <w:r>
              <w:rPr>
                <w:spacing w:val="1"/>
                <w:sz w:val="22"/>
              </w:rPr>
              <w:t> </w:t>
            </w:r>
            <w:r>
              <w:rPr>
                <w:spacing w:val="-5"/>
                <w:sz w:val="22"/>
              </w:rPr>
              <w:t>CI</w:t>
            </w:r>
          </w:p>
        </w:tc>
        <w:tc>
          <w:tcPr>
            <w:tcW w:w="1326" w:type="dxa"/>
            <w:tcBorders>
              <w:top w:val="single" w:sz="12" w:space="0" w:color="000000"/>
              <w:bottom w:val="single" w:sz="4" w:space="0" w:color="000000"/>
            </w:tcBorders>
          </w:tcPr>
          <w:p>
            <w:pPr>
              <w:pStyle w:val="TableParagraph"/>
              <w:spacing w:line="246" w:lineRule="exact"/>
              <w:ind w:right="187"/>
              <w:jc w:val="right"/>
              <w:rPr>
                <w:sz w:val="22"/>
              </w:rPr>
            </w:pPr>
            <w:r>
              <w:rPr>
                <w:spacing w:val="-4"/>
                <w:sz w:val="22"/>
              </w:rPr>
              <w:t>AOR</w:t>
            </w:r>
            <w:r>
              <w:rPr>
                <w:spacing w:val="-4"/>
                <w:sz w:val="22"/>
                <w:vertAlign w:val="superscript"/>
              </w:rPr>
              <w:t>1</w:t>
            </w:r>
          </w:p>
          <w:p>
            <w:pPr>
              <w:pStyle w:val="TableParagraph"/>
              <w:spacing w:line="238" w:lineRule="exact" w:before="1"/>
              <w:ind w:right="183"/>
              <w:jc w:val="right"/>
              <w:rPr>
                <w:sz w:val="22"/>
              </w:rPr>
            </w:pPr>
            <w:r>
              <w:rPr>
                <w:sz w:val="22"/>
              </w:rPr>
              <w:t>95%</w:t>
            </w:r>
            <w:r>
              <w:rPr>
                <w:spacing w:val="1"/>
                <w:sz w:val="22"/>
              </w:rPr>
              <w:t> </w:t>
            </w:r>
            <w:r>
              <w:rPr>
                <w:spacing w:val="-5"/>
                <w:sz w:val="22"/>
              </w:rPr>
              <w:t>CI</w:t>
            </w:r>
          </w:p>
        </w:tc>
        <w:tc>
          <w:tcPr>
            <w:tcW w:w="1604" w:type="dxa"/>
            <w:tcBorders>
              <w:top w:val="single" w:sz="12" w:space="0" w:color="000000"/>
              <w:bottom w:val="single" w:sz="4" w:space="0" w:color="000000"/>
            </w:tcBorders>
          </w:tcPr>
          <w:p>
            <w:pPr>
              <w:pStyle w:val="TableParagraph"/>
              <w:spacing w:line="246" w:lineRule="exact"/>
              <w:ind w:right="461"/>
              <w:jc w:val="right"/>
              <w:rPr>
                <w:sz w:val="22"/>
              </w:rPr>
            </w:pPr>
            <w:r>
              <w:rPr>
                <w:spacing w:val="-5"/>
                <w:sz w:val="22"/>
              </w:rPr>
              <w:t>OR</w:t>
            </w:r>
          </w:p>
          <w:p>
            <w:pPr>
              <w:pStyle w:val="TableParagraph"/>
              <w:spacing w:line="238" w:lineRule="exact" w:before="1"/>
              <w:ind w:right="460"/>
              <w:jc w:val="right"/>
              <w:rPr>
                <w:sz w:val="22"/>
              </w:rPr>
            </w:pPr>
            <w:r>
              <w:rPr>
                <w:sz w:val="22"/>
              </w:rPr>
              <w:t>95%</w:t>
            </w:r>
            <w:r>
              <w:rPr>
                <w:spacing w:val="1"/>
                <w:sz w:val="22"/>
              </w:rPr>
              <w:t> </w:t>
            </w:r>
            <w:r>
              <w:rPr>
                <w:spacing w:val="-5"/>
                <w:sz w:val="22"/>
              </w:rPr>
              <w:t>CI</w:t>
            </w:r>
          </w:p>
        </w:tc>
        <w:tc>
          <w:tcPr>
            <w:tcW w:w="972" w:type="dxa"/>
            <w:tcBorders>
              <w:top w:val="single" w:sz="12" w:space="0" w:color="000000"/>
              <w:bottom w:val="single" w:sz="4" w:space="0" w:color="000000"/>
            </w:tcBorders>
          </w:tcPr>
          <w:p>
            <w:pPr>
              <w:pStyle w:val="TableParagraph"/>
              <w:spacing w:line="246" w:lineRule="exact"/>
              <w:ind w:right="108"/>
              <w:jc w:val="right"/>
              <w:rPr>
                <w:sz w:val="22"/>
              </w:rPr>
            </w:pPr>
            <w:r>
              <w:rPr>
                <w:spacing w:val="-4"/>
                <w:sz w:val="22"/>
              </w:rPr>
              <w:t>AOR</w:t>
            </w:r>
            <w:r>
              <w:rPr>
                <w:spacing w:val="-4"/>
                <w:sz w:val="22"/>
                <w:vertAlign w:val="superscript"/>
              </w:rPr>
              <w:t>2</w:t>
            </w:r>
          </w:p>
          <w:p>
            <w:pPr>
              <w:pStyle w:val="TableParagraph"/>
              <w:spacing w:line="238" w:lineRule="exact" w:before="1"/>
              <w:ind w:right="104"/>
              <w:jc w:val="right"/>
              <w:rPr>
                <w:sz w:val="22"/>
              </w:rPr>
            </w:pPr>
            <w:r>
              <w:rPr>
                <w:sz w:val="22"/>
              </w:rPr>
              <w:t>95%</w:t>
            </w:r>
            <w:r>
              <w:rPr>
                <w:spacing w:val="1"/>
                <w:sz w:val="22"/>
              </w:rPr>
              <w:t> </w:t>
            </w:r>
            <w:r>
              <w:rPr>
                <w:spacing w:val="-5"/>
                <w:sz w:val="22"/>
              </w:rPr>
              <w:t>CI</w:t>
            </w:r>
          </w:p>
        </w:tc>
      </w:tr>
      <w:tr>
        <w:trPr>
          <w:trHeight w:val="534" w:hRule="atLeast"/>
        </w:trPr>
        <w:tc>
          <w:tcPr>
            <w:tcW w:w="3674" w:type="dxa"/>
            <w:tcBorders>
              <w:top w:val="single" w:sz="4" w:space="0" w:color="000000"/>
            </w:tcBorders>
          </w:tcPr>
          <w:p>
            <w:pPr>
              <w:pStyle w:val="TableParagraph"/>
              <w:spacing w:line="242" w:lineRule="auto"/>
              <w:ind w:left="108"/>
              <w:rPr>
                <w:sz w:val="22"/>
              </w:rPr>
            </w:pPr>
            <w:r>
              <w:rPr>
                <w:sz w:val="22"/>
              </w:rPr>
              <w:t>I</w:t>
            </w:r>
            <w:r>
              <w:rPr>
                <w:spacing w:val="-7"/>
                <w:sz w:val="22"/>
              </w:rPr>
              <w:t> </w:t>
            </w:r>
            <w:r>
              <w:rPr>
                <w:sz w:val="22"/>
              </w:rPr>
              <w:t>can</w:t>
            </w:r>
            <w:r>
              <w:rPr>
                <w:spacing w:val="-4"/>
                <w:sz w:val="22"/>
              </w:rPr>
              <w:t> </w:t>
            </w:r>
            <w:r>
              <w:rPr>
                <w:sz w:val="22"/>
              </w:rPr>
              <w:t>obtain</w:t>
            </w:r>
            <w:r>
              <w:rPr>
                <w:spacing w:val="-4"/>
                <w:sz w:val="22"/>
              </w:rPr>
              <w:t> </w:t>
            </w:r>
            <w:r>
              <w:rPr>
                <w:sz w:val="22"/>
              </w:rPr>
              <w:t>EC</w:t>
            </w:r>
            <w:r>
              <w:rPr>
                <w:spacing w:val="-7"/>
                <w:sz w:val="22"/>
              </w:rPr>
              <w:t> </w:t>
            </w:r>
            <w:r>
              <w:rPr>
                <w:sz w:val="22"/>
              </w:rPr>
              <w:t>at</w:t>
            </w:r>
            <w:r>
              <w:rPr>
                <w:spacing w:val="-5"/>
                <w:sz w:val="22"/>
              </w:rPr>
              <w:t> </w:t>
            </w:r>
            <w:r>
              <w:rPr>
                <w:sz w:val="22"/>
              </w:rPr>
              <w:t>any</w:t>
            </w:r>
            <w:r>
              <w:rPr>
                <w:spacing w:val="-6"/>
                <w:sz w:val="22"/>
              </w:rPr>
              <w:t> </w:t>
            </w:r>
            <w:r>
              <w:rPr>
                <w:sz w:val="22"/>
              </w:rPr>
              <w:t>pharmacy</w:t>
            </w:r>
            <w:r>
              <w:rPr>
                <w:spacing w:val="-6"/>
                <w:sz w:val="22"/>
              </w:rPr>
              <w:t> </w:t>
            </w:r>
            <w:r>
              <w:rPr>
                <w:sz w:val="22"/>
              </w:rPr>
              <w:t>in California without a prescription</w:t>
            </w:r>
          </w:p>
        </w:tc>
        <w:tc>
          <w:tcPr>
            <w:tcW w:w="1350" w:type="dxa"/>
            <w:tcBorders>
              <w:top w:val="single" w:sz="4" w:space="0" w:color="000000"/>
            </w:tcBorders>
          </w:tcPr>
          <w:p>
            <w:pPr>
              <w:pStyle w:val="TableParagraph"/>
              <w:spacing w:line="247" w:lineRule="exact"/>
              <w:ind w:right="183"/>
              <w:jc w:val="right"/>
              <w:rPr>
                <w:sz w:val="22"/>
              </w:rPr>
            </w:pPr>
            <w:r>
              <w:rPr>
                <w:spacing w:val="-2"/>
                <w:sz w:val="22"/>
              </w:rPr>
              <w:t>4.21**</w:t>
            </w:r>
          </w:p>
          <w:p>
            <w:pPr>
              <w:pStyle w:val="TableParagraph"/>
              <w:spacing w:before="1"/>
              <w:ind w:right="186"/>
              <w:jc w:val="right"/>
              <w:rPr>
                <w:sz w:val="22"/>
              </w:rPr>
            </w:pPr>
            <w:r>
              <w:rPr>
                <w:spacing w:val="-2"/>
                <w:sz w:val="22"/>
              </w:rPr>
              <w:t>1.41-12.56</w:t>
            </w:r>
          </w:p>
        </w:tc>
        <w:tc>
          <w:tcPr>
            <w:tcW w:w="1326" w:type="dxa"/>
            <w:tcBorders>
              <w:top w:val="single" w:sz="4" w:space="0" w:color="000000"/>
            </w:tcBorders>
          </w:tcPr>
          <w:p>
            <w:pPr>
              <w:pStyle w:val="TableParagraph"/>
              <w:spacing w:line="247" w:lineRule="exact"/>
              <w:ind w:right="182"/>
              <w:jc w:val="right"/>
              <w:rPr>
                <w:sz w:val="22"/>
              </w:rPr>
            </w:pPr>
            <w:r>
              <w:rPr>
                <w:spacing w:val="-2"/>
                <w:sz w:val="22"/>
              </w:rPr>
              <w:t>4.62*</w:t>
            </w:r>
          </w:p>
          <w:p>
            <w:pPr>
              <w:pStyle w:val="TableParagraph"/>
              <w:spacing w:before="1"/>
              <w:ind w:right="184"/>
              <w:jc w:val="right"/>
              <w:rPr>
                <w:sz w:val="22"/>
              </w:rPr>
            </w:pPr>
            <w:r>
              <w:rPr>
                <w:spacing w:val="-2"/>
                <w:sz w:val="22"/>
              </w:rPr>
              <w:t>1.15-18.52</w:t>
            </w:r>
          </w:p>
        </w:tc>
        <w:tc>
          <w:tcPr>
            <w:tcW w:w="1604" w:type="dxa"/>
            <w:tcBorders>
              <w:top w:val="single" w:sz="4" w:space="0" w:color="000000"/>
            </w:tcBorders>
          </w:tcPr>
          <w:p>
            <w:pPr>
              <w:pStyle w:val="TableParagraph"/>
              <w:spacing w:line="247" w:lineRule="exact"/>
              <w:ind w:right="459"/>
              <w:jc w:val="right"/>
              <w:rPr>
                <w:sz w:val="22"/>
              </w:rPr>
            </w:pPr>
            <w:r>
              <w:rPr>
                <w:spacing w:val="-4"/>
                <w:sz w:val="22"/>
              </w:rPr>
              <w:t>1.36</w:t>
            </w:r>
          </w:p>
          <w:p>
            <w:pPr>
              <w:pStyle w:val="TableParagraph"/>
              <w:spacing w:before="1"/>
              <w:ind w:right="461"/>
              <w:jc w:val="right"/>
              <w:rPr>
                <w:sz w:val="22"/>
              </w:rPr>
            </w:pPr>
            <w:r>
              <w:rPr>
                <w:spacing w:val="-2"/>
                <w:sz w:val="22"/>
              </w:rPr>
              <w:t>0.15-12.18</w:t>
            </w:r>
          </w:p>
        </w:tc>
        <w:tc>
          <w:tcPr>
            <w:tcW w:w="972" w:type="dxa"/>
            <w:tcBorders>
              <w:top w:val="single" w:sz="4" w:space="0" w:color="000000"/>
            </w:tcBorders>
          </w:tcPr>
          <w:p>
            <w:pPr>
              <w:pStyle w:val="TableParagraph"/>
              <w:spacing w:line="247" w:lineRule="exact"/>
              <w:ind w:left="234"/>
              <w:rPr>
                <w:sz w:val="22"/>
              </w:rPr>
            </w:pPr>
            <w:r>
              <w:rPr>
                <w:spacing w:val="-2"/>
                <w:sz w:val="22"/>
              </w:rPr>
              <w:t>-</w:t>
            </w:r>
            <w:r>
              <w:rPr>
                <w:spacing w:val="-10"/>
                <w:sz w:val="22"/>
              </w:rPr>
              <w:t>-</w:t>
            </w:r>
          </w:p>
        </w:tc>
      </w:tr>
      <w:tr>
        <w:trPr>
          <w:trHeight w:val="309" w:hRule="atLeast"/>
        </w:trPr>
        <w:tc>
          <w:tcPr>
            <w:tcW w:w="3674" w:type="dxa"/>
          </w:tcPr>
          <w:p>
            <w:pPr>
              <w:pStyle w:val="TableParagraph"/>
              <w:spacing w:before="25"/>
              <w:ind w:left="108"/>
              <w:rPr>
                <w:i/>
                <w:sz w:val="22"/>
              </w:rPr>
            </w:pPr>
            <w:r>
              <w:rPr>
                <w:i/>
                <w:spacing w:val="-2"/>
                <w:sz w:val="22"/>
              </w:rPr>
              <w:t>Perception</w:t>
            </w:r>
          </w:p>
        </w:tc>
        <w:tc>
          <w:tcPr>
            <w:tcW w:w="1350" w:type="dxa"/>
          </w:tcPr>
          <w:p>
            <w:pPr>
              <w:pStyle w:val="TableParagraph"/>
              <w:rPr>
                <w:sz w:val="20"/>
              </w:rPr>
            </w:pPr>
          </w:p>
        </w:tc>
        <w:tc>
          <w:tcPr>
            <w:tcW w:w="1326" w:type="dxa"/>
          </w:tcPr>
          <w:p>
            <w:pPr>
              <w:pStyle w:val="TableParagraph"/>
              <w:rPr>
                <w:sz w:val="20"/>
              </w:rPr>
            </w:pPr>
          </w:p>
        </w:tc>
        <w:tc>
          <w:tcPr>
            <w:tcW w:w="1604" w:type="dxa"/>
          </w:tcPr>
          <w:p>
            <w:pPr>
              <w:pStyle w:val="TableParagraph"/>
              <w:rPr>
                <w:sz w:val="20"/>
              </w:rPr>
            </w:pPr>
          </w:p>
        </w:tc>
        <w:tc>
          <w:tcPr>
            <w:tcW w:w="972" w:type="dxa"/>
          </w:tcPr>
          <w:p>
            <w:pPr>
              <w:pStyle w:val="TableParagraph"/>
              <w:rPr>
                <w:sz w:val="20"/>
              </w:rPr>
            </w:pPr>
          </w:p>
        </w:tc>
      </w:tr>
      <w:tr>
        <w:trPr>
          <w:trHeight w:val="567" w:hRule="atLeast"/>
        </w:trPr>
        <w:tc>
          <w:tcPr>
            <w:tcW w:w="3674" w:type="dxa"/>
          </w:tcPr>
          <w:p>
            <w:pPr>
              <w:pStyle w:val="TableParagraph"/>
              <w:spacing w:before="22"/>
              <w:ind w:left="108" w:right="227"/>
              <w:rPr>
                <w:sz w:val="22"/>
              </w:rPr>
            </w:pPr>
            <w:r>
              <w:rPr>
                <w:sz w:val="22"/>
              </w:rPr>
              <w:t>I</w:t>
            </w:r>
            <w:r>
              <w:rPr>
                <w:spacing w:val="-12"/>
                <w:sz w:val="22"/>
              </w:rPr>
              <w:t> </w:t>
            </w:r>
            <w:r>
              <w:rPr>
                <w:sz w:val="22"/>
              </w:rPr>
              <w:t>feel</w:t>
            </w:r>
            <w:r>
              <w:rPr>
                <w:spacing w:val="-8"/>
                <w:sz w:val="22"/>
              </w:rPr>
              <w:t> </w:t>
            </w:r>
            <w:r>
              <w:rPr>
                <w:sz w:val="22"/>
              </w:rPr>
              <w:t>emergency</w:t>
            </w:r>
            <w:r>
              <w:rPr>
                <w:spacing w:val="-11"/>
                <w:sz w:val="22"/>
              </w:rPr>
              <w:t> </w:t>
            </w:r>
            <w:r>
              <w:rPr>
                <w:sz w:val="22"/>
              </w:rPr>
              <w:t>contraception</w:t>
            </w:r>
            <w:r>
              <w:rPr>
                <w:spacing w:val="-8"/>
                <w:sz w:val="22"/>
              </w:rPr>
              <w:t> </w:t>
            </w:r>
            <w:r>
              <w:rPr>
                <w:sz w:val="22"/>
              </w:rPr>
              <w:t>is morally wrong</w:t>
            </w:r>
          </w:p>
        </w:tc>
        <w:tc>
          <w:tcPr>
            <w:tcW w:w="1350" w:type="dxa"/>
          </w:tcPr>
          <w:p>
            <w:pPr>
              <w:pStyle w:val="TableParagraph"/>
              <w:spacing w:line="252" w:lineRule="exact" w:before="22"/>
              <w:ind w:right="183"/>
              <w:jc w:val="right"/>
              <w:rPr>
                <w:sz w:val="22"/>
              </w:rPr>
            </w:pPr>
            <w:r>
              <w:rPr>
                <w:spacing w:val="-2"/>
                <w:sz w:val="22"/>
              </w:rPr>
              <w:t>0.46***</w:t>
            </w:r>
          </w:p>
          <w:p>
            <w:pPr>
              <w:pStyle w:val="TableParagraph"/>
              <w:spacing w:line="252" w:lineRule="exact"/>
              <w:ind w:right="186"/>
              <w:jc w:val="right"/>
              <w:rPr>
                <w:sz w:val="22"/>
              </w:rPr>
            </w:pPr>
            <w:r>
              <w:rPr>
                <w:spacing w:val="-2"/>
                <w:sz w:val="22"/>
              </w:rPr>
              <w:t>0.30-</w:t>
            </w:r>
            <w:r>
              <w:rPr>
                <w:spacing w:val="-4"/>
                <w:sz w:val="22"/>
              </w:rPr>
              <w:t>0.70</w:t>
            </w:r>
          </w:p>
        </w:tc>
        <w:tc>
          <w:tcPr>
            <w:tcW w:w="1326" w:type="dxa"/>
          </w:tcPr>
          <w:p>
            <w:pPr>
              <w:pStyle w:val="TableParagraph"/>
              <w:spacing w:line="252" w:lineRule="exact" w:before="22"/>
              <w:ind w:right="182"/>
              <w:jc w:val="right"/>
              <w:rPr>
                <w:sz w:val="22"/>
              </w:rPr>
            </w:pPr>
            <w:r>
              <w:rPr>
                <w:spacing w:val="-2"/>
                <w:sz w:val="22"/>
              </w:rPr>
              <w:t>0.40**</w:t>
            </w:r>
          </w:p>
          <w:p>
            <w:pPr>
              <w:pStyle w:val="TableParagraph"/>
              <w:spacing w:line="252" w:lineRule="exact"/>
              <w:ind w:right="184"/>
              <w:jc w:val="right"/>
              <w:rPr>
                <w:sz w:val="22"/>
              </w:rPr>
            </w:pPr>
            <w:r>
              <w:rPr>
                <w:spacing w:val="-2"/>
                <w:sz w:val="22"/>
              </w:rPr>
              <w:t>0.22-</w:t>
            </w:r>
            <w:r>
              <w:rPr>
                <w:spacing w:val="-4"/>
                <w:sz w:val="22"/>
              </w:rPr>
              <w:t>0.73</w:t>
            </w:r>
          </w:p>
        </w:tc>
        <w:tc>
          <w:tcPr>
            <w:tcW w:w="1604" w:type="dxa"/>
          </w:tcPr>
          <w:p>
            <w:pPr>
              <w:pStyle w:val="TableParagraph"/>
              <w:spacing w:line="252" w:lineRule="exact" w:before="22"/>
              <w:ind w:right="459"/>
              <w:jc w:val="right"/>
              <w:rPr>
                <w:sz w:val="22"/>
              </w:rPr>
            </w:pPr>
            <w:r>
              <w:rPr>
                <w:spacing w:val="-2"/>
                <w:sz w:val="22"/>
              </w:rPr>
              <w:t>0.26***</w:t>
            </w:r>
          </w:p>
          <w:p>
            <w:pPr>
              <w:pStyle w:val="TableParagraph"/>
              <w:spacing w:line="252" w:lineRule="exact"/>
              <w:ind w:right="461"/>
              <w:jc w:val="right"/>
              <w:rPr>
                <w:sz w:val="22"/>
              </w:rPr>
            </w:pPr>
            <w:r>
              <w:rPr>
                <w:spacing w:val="-2"/>
                <w:sz w:val="22"/>
              </w:rPr>
              <w:t>0.12-</w:t>
            </w:r>
            <w:r>
              <w:rPr>
                <w:spacing w:val="-4"/>
                <w:sz w:val="22"/>
              </w:rPr>
              <w:t>0.57</w:t>
            </w:r>
          </w:p>
        </w:tc>
        <w:tc>
          <w:tcPr>
            <w:tcW w:w="972" w:type="dxa"/>
          </w:tcPr>
          <w:p>
            <w:pPr>
              <w:pStyle w:val="TableParagraph"/>
              <w:spacing w:line="252" w:lineRule="exact" w:before="22"/>
              <w:ind w:right="105"/>
              <w:jc w:val="right"/>
              <w:rPr>
                <w:sz w:val="22"/>
              </w:rPr>
            </w:pPr>
            <w:r>
              <w:rPr>
                <w:spacing w:val="-4"/>
                <w:sz w:val="22"/>
              </w:rPr>
              <w:t>0.44</w:t>
            </w:r>
          </w:p>
          <w:p>
            <w:pPr>
              <w:pStyle w:val="TableParagraph"/>
              <w:spacing w:line="252" w:lineRule="exact"/>
              <w:ind w:right="106"/>
              <w:jc w:val="right"/>
              <w:rPr>
                <w:sz w:val="22"/>
              </w:rPr>
            </w:pPr>
            <w:r>
              <w:rPr>
                <w:spacing w:val="-2"/>
                <w:sz w:val="22"/>
              </w:rPr>
              <w:t>0.19-</w:t>
            </w:r>
            <w:r>
              <w:rPr>
                <w:spacing w:val="-4"/>
                <w:sz w:val="22"/>
              </w:rPr>
              <w:t>1.02</w:t>
            </w:r>
          </w:p>
        </w:tc>
      </w:tr>
      <w:tr>
        <w:trPr>
          <w:trHeight w:val="541" w:hRule="atLeast"/>
        </w:trPr>
        <w:tc>
          <w:tcPr>
            <w:tcW w:w="3674" w:type="dxa"/>
          </w:tcPr>
          <w:p>
            <w:pPr>
              <w:pStyle w:val="TableParagraph"/>
              <w:spacing w:before="31"/>
              <w:ind w:left="108"/>
              <w:rPr>
                <w:sz w:val="22"/>
              </w:rPr>
            </w:pPr>
            <w:r>
              <w:rPr>
                <w:sz w:val="22"/>
              </w:rPr>
              <w:t>EC</w:t>
            </w:r>
            <w:r>
              <w:rPr>
                <w:spacing w:val="-5"/>
                <w:sz w:val="22"/>
              </w:rPr>
              <w:t> </w:t>
            </w:r>
            <w:r>
              <w:rPr>
                <w:sz w:val="22"/>
              </w:rPr>
              <w:t>encourages</w:t>
            </w:r>
            <w:r>
              <w:rPr>
                <w:spacing w:val="-3"/>
                <w:sz w:val="22"/>
              </w:rPr>
              <w:t> </w:t>
            </w:r>
            <w:r>
              <w:rPr>
                <w:spacing w:val="-2"/>
                <w:sz w:val="22"/>
              </w:rPr>
              <w:t>promiscuity</w:t>
            </w:r>
          </w:p>
        </w:tc>
        <w:tc>
          <w:tcPr>
            <w:tcW w:w="1350" w:type="dxa"/>
          </w:tcPr>
          <w:p>
            <w:pPr>
              <w:pStyle w:val="TableParagraph"/>
              <w:spacing w:line="252" w:lineRule="exact" w:before="31"/>
              <w:ind w:right="183"/>
              <w:jc w:val="right"/>
              <w:rPr>
                <w:sz w:val="22"/>
              </w:rPr>
            </w:pPr>
            <w:r>
              <w:rPr>
                <w:spacing w:val="-4"/>
                <w:sz w:val="22"/>
              </w:rPr>
              <w:t>0.87</w:t>
            </w:r>
          </w:p>
          <w:p>
            <w:pPr>
              <w:pStyle w:val="TableParagraph"/>
              <w:spacing w:line="238" w:lineRule="exact"/>
              <w:ind w:right="187"/>
              <w:jc w:val="right"/>
              <w:rPr>
                <w:sz w:val="22"/>
              </w:rPr>
            </w:pPr>
            <w:r>
              <w:rPr>
                <w:spacing w:val="-2"/>
                <w:sz w:val="22"/>
              </w:rPr>
              <w:t>0.57-</w:t>
            </w:r>
            <w:r>
              <w:rPr>
                <w:spacing w:val="-4"/>
                <w:sz w:val="22"/>
              </w:rPr>
              <w:t>1.34</w:t>
            </w:r>
          </w:p>
        </w:tc>
        <w:tc>
          <w:tcPr>
            <w:tcW w:w="1326" w:type="dxa"/>
          </w:tcPr>
          <w:p>
            <w:pPr>
              <w:pStyle w:val="TableParagraph"/>
              <w:spacing w:before="31"/>
              <w:ind w:right="187"/>
              <w:jc w:val="right"/>
              <w:rPr>
                <w:sz w:val="22"/>
              </w:rPr>
            </w:pPr>
            <w:r>
              <w:rPr>
                <w:spacing w:val="-2"/>
                <w:sz w:val="22"/>
              </w:rPr>
              <w:t>-</w:t>
            </w:r>
            <w:r>
              <w:rPr>
                <w:spacing w:val="-10"/>
                <w:sz w:val="22"/>
              </w:rPr>
              <w:t>-</w:t>
            </w:r>
          </w:p>
        </w:tc>
        <w:tc>
          <w:tcPr>
            <w:tcW w:w="1604" w:type="dxa"/>
          </w:tcPr>
          <w:p>
            <w:pPr>
              <w:pStyle w:val="TableParagraph"/>
              <w:spacing w:line="252" w:lineRule="exact" w:before="31"/>
              <w:ind w:right="459"/>
              <w:jc w:val="right"/>
              <w:rPr>
                <w:sz w:val="22"/>
              </w:rPr>
            </w:pPr>
            <w:r>
              <w:rPr>
                <w:spacing w:val="-2"/>
                <w:sz w:val="22"/>
              </w:rPr>
              <w:t>0.17**</w:t>
            </w:r>
          </w:p>
          <w:p>
            <w:pPr>
              <w:pStyle w:val="TableParagraph"/>
              <w:spacing w:line="238" w:lineRule="exact"/>
              <w:ind w:right="461"/>
              <w:jc w:val="right"/>
              <w:rPr>
                <w:sz w:val="22"/>
              </w:rPr>
            </w:pPr>
            <w:r>
              <w:rPr>
                <w:spacing w:val="-2"/>
                <w:sz w:val="22"/>
              </w:rPr>
              <w:t>0.05-</w:t>
            </w:r>
            <w:r>
              <w:rPr>
                <w:spacing w:val="-4"/>
                <w:sz w:val="22"/>
              </w:rPr>
              <w:t>0.53</w:t>
            </w:r>
          </w:p>
        </w:tc>
        <w:tc>
          <w:tcPr>
            <w:tcW w:w="972" w:type="dxa"/>
          </w:tcPr>
          <w:p>
            <w:pPr>
              <w:pStyle w:val="TableParagraph"/>
              <w:spacing w:line="252" w:lineRule="exact" w:before="31"/>
              <w:ind w:right="105"/>
              <w:jc w:val="right"/>
              <w:rPr>
                <w:sz w:val="22"/>
              </w:rPr>
            </w:pPr>
            <w:r>
              <w:rPr>
                <w:spacing w:val="-4"/>
                <w:sz w:val="22"/>
              </w:rPr>
              <w:t>0.33</w:t>
            </w:r>
          </w:p>
          <w:p>
            <w:pPr>
              <w:pStyle w:val="TableParagraph"/>
              <w:spacing w:line="238" w:lineRule="exact"/>
              <w:ind w:right="106"/>
              <w:jc w:val="right"/>
              <w:rPr>
                <w:sz w:val="22"/>
              </w:rPr>
            </w:pPr>
            <w:r>
              <w:rPr>
                <w:spacing w:val="-2"/>
                <w:sz w:val="22"/>
              </w:rPr>
              <w:t>0.09-</w:t>
            </w:r>
            <w:r>
              <w:rPr>
                <w:spacing w:val="-4"/>
                <w:sz w:val="22"/>
              </w:rPr>
              <w:t>1.21</w:t>
            </w:r>
          </w:p>
        </w:tc>
      </w:tr>
      <w:tr>
        <w:trPr>
          <w:trHeight w:val="583" w:hRule="atLeast"/>
        </w:trPr>
        <w:tc>
          <w:tcPr>
            <w:tcW w:w="3674" w:type="dxa"/>
          </w:tcPr>
          <w:p>
            <w:pPr>
              <w:pStyle w:val="TableParagraph"/>
              <w:ind w:left="108" w:right="227"/>
              <w:rPr>
                <w:sz w:val="22"/>
              </w:rPr>
            </w:pPr>
            <w:r>
              <w:rPr>
                <w:sz w:val="22"/>
              </w:rPr>
              <w:t>EC</w:t>
            </w:r>
            <w:r>
              <w:rPr>
                <w:spacing w:val="-7"/>
                <w:sz w:val="22"/>
              </w:rPr>
              <w:t> </w:t>
            </w:r>
            <w:r>
              <w:rPr>
                <w:sz w:val="22"/>
              </w:rPr>
              <w:t>is</w:t>
            </w:r>
            <w:r>
              <w:rPr>
                <w:spacing w:val="-6"/>
                <w:sz w:val="22"/>
              </w:rPr>
              <w:t> </w:t>
            </w:r>
            <w:r>
              <w:rPr>
                <w:sz w:val="22"/>
              </w:rPr>
              <w:t>worth</w:t>
            </w:r>
            <w:r>
              <w:rPr>
                <w:spacing w:val="-6"/>
                <w:sz w:val="22"/>
              </w:rPr>
              <w:t> </w:t>
            </w:r>
            <w:r>
              <w:rPr>
                <w:sz w:val="22"/>
              </w:rPr>
              <w:t>using</w:t>
            </w:r>
            <w:r>
              <w:rPr>
                <w:spacing w:val="-9"/>
                <w:sz w:val="22"/>
              </w:rPr>
              <w:t> </w:t>
            </w:r>
            <w:r>
              <w:rPr>
                <w:sz w:val="22"/>
              </w:rPr>
              <w:t>even</w:t>
            </w:r>
            <w:r>
              <w:rPr>
                <w:spacing w:val="-6"/>
                <w:sz w:val="22"/>
              </w:rPr>
              <w:t> </w:t>
            </w:r>
            <w:r>
              <w:rPr>
                <w:sz w:val="22"/>
              </w:rPr>
              <w:t>if</w:t>
            </w:r>
            <w:r>
              <w:rPr>
                <w:spacing w:val="-5"/>
                <w:sz w:val="22"/>
              </w:rPr>
              <w:t> </w:t>
            </w:r>
            <w:r>
              <w:rPr>
                <w:sz w:val="22"/>
              </w:rPr>
              <w:t>the monetary cost is high</w:t>
            </w:r>
          </w:p>
        </w:tc>
        <w:tc>
          <w:tcPr>
            <w:tcW w:w="1350" w:type="dxa"/>
          </w:tcPr>
          <w:p>
            <w:pPr>
              <w:pStyle w:val="TableParagraph"/>
              <w:spacing w:line="249" w:lineRule="exact"/>
              <w:ind w:right="183"/>
              <w:jc w:val="right"/>
              <w:rPr>
                <w:sz w:val="22"/>
              </w:rPr>
            </w:pPr>
            <w:r>
              <w:rPr>
                <w:spacing w:val="-2"/>
                <w:sz w:val="22"/>
              </w:rPr>
              <w:t>2.50***</w:t>
            </w:r>
          </w:p>
          <w:p>
            <w:pPr>
              <w:pStyle w:val="TableParagraph"/>
              <w:spacing w:line="252" w:lineRule="exact"/>
              <w:ind w:right="186"/>
              <w:jc w:val="right"/>
              <w:rPr>
                <w:sz w:val="22"/>
              </w:rPr>
            </w:pPr>
            <w:r>
              <w:rPr>
                <w:spacing w:val="-2"/>
                <w:sz w:val="22"/>
              </w:rPr>
              <w:t>1.49-</w:t>
            </w:r>
            <w:r>
              <w:rPr>
                <w:spacing w:val="-4"/>
                <w:sz w:val="22"/>
              </w:rPr>
              <w:t>4.19</w:t>
            </w:r>
          </w:p>
        </w:tc>
        <w:tc>
          <w:tcPr>
            <w:tcW w:w="1326" w:type="dxa"/>
          </w:tcPr>
          <w:p>
            <w:pPr>
              <w:pStyle w:val="TableParagraph"/>
              <w:spacing w:line="249" w:lineRule="exact"/>
              <w:ind w:right="182"/>
              <w:jc w:val="right"/>
              <w:rPr>
                <w:sz w:val="22"/>
              </w:rPr>
            </w:pPr>
            <w:r>
              <w:rPr>
                <w:spacing w:val="-2"/>
                <w:sz w:val="22"/>
              </w:rPr>
              <w:t>2.35*</w:t>
            </w:r>
          </w:p>
          <w:p>
            <w:pPr>
              <w:pStyle w:val="TableParagraph"/>
              <w:spacing w:line="252" w:lineRule="exact"/>
              <w:ind w:right="184"/>
              <w:jc w:val="right"/>
              <w:rPr>
                <w:sz w:val="22"/>
              </w:rPr>
            </w:pPr>
            <w:r>
              <w:rPr>
                <w:spacing w:val="-2"/>
                <w:sz w:val="22"/>
              </w:rPr>
              <w:t>1.19-</w:t>
            </w:r>
            <w:r>
              <w:rPr>
                <w:spacing w:val="-4"/>
                <w:sz w:val="22"/>
              </w:rPr>
              <w:t>4.65</w:t>
            </w:r>
          </w:p>
        </w:tc>
        <w:tc>
          <w:tcPr>
            <w:tcW w:w="1604" w:type="dxa"/>
          </w:tcPr>
          <w:p>
            <w:pPr>
              <w:pStyle w:val="TableParagraph"/>
              <w:spacing w:line="249" w:lineRule="exact"/>
              <w:ind w:right="459"/>
              <w:jc w:val="right"/>
              <w:rPr>
                <w:sz w:val="22"/>
              </w:rPr>
            </w:pPr>
            <w:r>
              <w:rPr>
                <w:spacing w:val="-2"/>
                <w:sz w:val="22"/>
              </w:rPr>
              <w:t>2.42**</w:t>
            </w:r>
          </w:p>
          <w:p>
            <w:pPr>
              <w:pStyle w:val="TableParagraph"/>
              <w:spacing w:line="252" w:lineRule="exact"/>
              <w:ind w:right="461"/>
              <w:jc w:val="right"/>
              <w:rPr>
                <w:sz w:val="22"/>
              </w:rPr>
            </w:pPr>
            <w:r>
              <w:rPr>
                <w:spacing w:val="-2"/>
                <w:sz w:val="22"/>
              </w:rPr>
              <w:t>1.33-</w:t>
            </w:r>
            <w:r>
              <w:rPr>
                <w:spacing w:val="-4"/>
                <w:sz w:val="22"/>
              </w:rPr>
              <w:t>4.40</w:t>
            </w:r>
          </w:p>
        </w:tc>
        <w:tc>
          <w:tcPr>
            <w:tcW w:w="972" w:type="dxa"/>
          </w:tcPr>
          <w:p>
            <w:pPr>
              <w:pStyle w:val="TableParagraph"/>
              <w:spacing w:line="249" w:lineRule="exact"/>
              <w:ind w:right="105"/>
              <w:jc w:val="right"/>
              <w:rPr>
                <w:sz w:val="22"/>
              </w:rPr>
            </w:pPr>
            <w:r>
              <w:rPr>
                <w:spacing w:val="-4"/>
                <w:sz w:val="22"/>
              </w:rPr>
              <w:t>1.87</w:t>
            </w:r>
          </w:p>
          <w:p>
            <w:pPr>
              <w:pStyle w:val="TableParagraph"/>
              <w:spacing w:line="252" w:lineRule="exact"/>
              <w:ind w:right="106"/>
              <w:jc w:val="right"/>
              <w:rPr>
                <w:sz w:val="22"/>
              </w:rPr>
            </w:pPr>
            <w:r>
              <w:rPr>
                <w:spacing w:val="-2"/>
                <w:sz w:val="22"/>
              </w:rPr>
              <w:t>0.81-</w:t>
            </w:r>
            <w:r>
              <w:rPr>
                <w:spacing w:val="-4"/>
                <w:sz w:val="22"/>
              </w:rPr>
              <w:t>4.31</w:t>
            </w:r>
          </w:p>
        </w:tc>
      </w:tr>
      <w:tr>
        <w:trPr>
          <w:trHeight w:val="333" w:hRule="atLeast"/>
        </w:trPr>
        <w:tc>
          <w:tcPr>
            <w:tcW w:w="3674" w:type="dxa"/>
          </w:tcPr>
          <w:p>
            <w:pPr>
              <w:pStyle w:val="TableParagraph"/>
              <w:spacing w:line="241" w:lineRule="exact" w:before="73"/>
              <w:ind w:left="108"/>
              <w:rPr>
                <w:i/>
                <w:sz w:val="22"/>
              </w:rPr>
            </w:pPr>
            <w:r>
              <w:rPr>
                <w:i/>
                <w:sz w:val="22"/>
              </w:rPr>
              <w:t>Past</w:t>
            </w:r>
            <w:r>
              <w:rPr>
                <w:i/>
                <w:spacing w:val="-3"/>
                <w:sz w:val="22"/>
              </w:rPr>
              <w:t> </w:t>
            </w:r>
            <w:r>
              <w:rPr>
                <w:i/>
                <w:sz w:val="22"/>
              </w:rPr>
              <w:t>Experiences</w:t>
            </w:r>
            <w:r>
              <w:rPr>
                <w:i/>
                <w:spacing w:val="-3"/>
                <w:sz w:val="22"/>
              </w:rPr>
              <w:t> </w:t>
            </w:r>
            <w:r>
              <w:rPr>
                <w:i/>
                <w:sz w:val="22"/>
              </w:rPr>
              <w:t>with</w:t>
            </w:r>
            <w:r>
              <w:rPr>
                <w:i/>
                <w:spacing w:val="-6"/>
                <w:sz w:val="22"/>
              </w:rPr>
              <w:t> </w:t>
            </w:r>
            <w:r>
              <w:rPr>
                <w:i/>
                <w:spacing w:val="-2"/>
                <w:sz w:val="22"/>
              </w:rPr>
              <w:t>pregnancy</w:t>
            </w:r>
          </w:p>
        </w:tc>
        <w:tc>
          <w:tcPr>
            <w:tcW w:w="1350" w:type="dxa"/>
          </w:tcPr>
          <w:p>
            <w:pPr>
              <w:pStyle w:val="TableParagraph"/>
              <w:rPr>
                <w:sz w:val="20"/>
              </w:rPr>
            </w:pPr>
          </w:p>
        </w:tc>
        <w:tc>
          <w:tcPr>
            <w:tcW w:w="1326" w:type="dxa"/>
          </w:tcPr>
          <w:p>
            <w:pPr>
              <w:pStyle w:val="TableParagraph"/>
              <w:rPr>
                <w:sz w:val="20"/>
              </w:rPr>
            </w:pPr>
          </w:p>
        </w:tc>
        <w:tc>
          <w:tcPr>
            <w:tcW w:w="1604" w:type="dxa"/>
          </w:tcPr>
          <w:p>
            <w:pPr>
              <w:pStyle w:val="TableParagraph"/>
              <w:rPr>
                <w:sz w:val="20"/>
              </w:rPr>
            </w:pPr>
          </w:p>
        </w:tc>
        <w:tc>
          <w:tcPr>
            <w:tcW w:w="972" w:type="dxa"/>
          </w:tcPr>
          <w:p>
            <w:pPr>
              <w:pStyle w:val="TableParagraph"/>
              <w:rPr>
                <w:sz w:val="20"/>
              </w:rPr>
            </w:pPr>
          </w:p>
        </w:tc>
      </w:tr>
      <w:tr>
        <w:trPr>
          <w:trHeight w:val="600" w:hRule="atLeast"/>
        </w:trPr>
        <w:tc>
          <w:tcPr>
            <w:tcW w:w="3674" w:type="dxa"/>
          </w:tcPr>
          <w:p>
            <w:pPr>
              <w:pStyle w:val="TableParagraph"/>
              <w:spacing w:before="27"/>
              <w:ind w:left="108" w:right="227"/>
              <w:rPr>
                <w:sz w:val="22"/>
              </w:rPr>
            </w:pPr>
            <w:r>
              <w:rPr>
                <w:sz w:val="22"/>
              </w:rPr>
              <w:t>Experienced (or partner has experienced)</w:t>
            </w:r>
            <w:r>
              <w:rPr>
                <w:spacing w:val="-9"/>
                <w:sz w:val="22"/>
              </w:rPr>
              <w:t> </w:t>
            </w:r>
            <w:r>
              <w:rPr>
                <w:sz w:val="22"/>
              </w:rPr>
              <w:t>at</w:t>
            </w:r>
            <w:r>
              <w:rPr>
                <w:spacing w:val="-9"/>
                <w:sz w:val="22"/>
              </w:rPr>
              <w:t> </w:t>
            </w:r>
            <w:r>
              <w:rPr>
                <w:sz w:val="22"/>
              </w:rPr>
              <w:t>least</w:t>
            </w:r>
            <w:r>
              <w:rPr>
                <w:spacing w:val="-9"/>
                <w:sz w:val="22"/>
              </w:rPr>
              <w:t> </w:t>
            </w:r>
            <w:r>
              <w:rPr>
                <w:sz w:val="22"/>
              </w:rPr>
              <w:t>1</w:t>
            </w:r>
            <w:r>
              <w:rPr>
                <w:spacing w:val="-9"/>
                <w:sz w:val="22"/>
              </w:rPr>
              <w:t> </w:t>
            </w:r>
            <w:r>
              <w:rPr>
                <w:sz w:val="22"/>
              </w:rPr>
              <w:t>abortion</w:t>
            </w:r>
          </w:p>
        </w:tc>
        <w:tc>
          <w:tcPr>
            <w:tcW w:w="1350" w:type="dxa"/>
          </w:tcPr>
          <w:p>
            <w:pPr>
              <w:pStyle w:val="TableParagraph"/>
              <w:spacing w:line="252" w:lineRule="exact" w:before="27"/>
              <w:ind w:right="183"/>
              <w:jc w:val="right"/>
              <w:rPr>
                <w:sz w:val="22"/>
              </w:rPr>
            </w:pPr>
            <w:r>
              <w:rPr>
                <w:spacing w:val="-2"/>
                <w:sz w:val="22"/>
              </w:rPr>
              <w:t>0.29*</w:t>
            </w:r>
          </w:p>
          <w:p>
            <w:pPr>
              <w:pStyle w:val="TableParagraph"/>
              <w:spacing w:line="252" w:lineRule="exact"/>
              <w:ind w:right="186"/>
              <w:jc w:val="right"/>
              <w:rPr>
                <w:sz w:val="22"/>
              </w:rPr>
            </w:pPr>
            <w:r>
              <w:rPr>
                <w:spacing w:val="-2"/>
                <w:sz w:val="22"/>
              </w:rPr>
              <w:t>0.09-</w:t>
            </w:r>
            <w:r>
              <w:rPr>
                <w:spacing w:val="-4"/>
                <w:sz w:val="22"/>
              </w:rPr>
              <w:t>0.92</w:t>
            </w:r>
          </w:p>
        </w:tc>
        <w:tc>
          <w:tcPr>
            <w:tcW w:w="1326" w:type="dxa"/>
          </w:tcPr>
          <w:p>
            <w:pPr>
              <w:pStyle w:val="TableParagraph"/>
              <w:spacing w:line="252" w:lineRule="exact" w:before="27"/>
              <w:ind w:right="182"/>
              <w:jc w:val="right"/>
              <w:rPr>
                <w:sz w:val="22"/>
              </w:rPr>
            </w:pPr>
            <w:r>
              <w:rPr>
                <w:spacing w:val="-2"/>
                <w:sz w:val="22"/>
              </w:rPr>
              <w:t>0.07*</w:t>
            </w:r>
          </w:p>
          <w:p>
            <w:pPr>
              <w:pStyle w:val="TableParagraph"/>
              <w:spacing w:line="252" w:lineRule="exact"/>
              <w:ind w:right="184"/>
              <w:jc w:val="right"/>
              <w:rPr>
                <w:sz w:val="22"/>
              </w:rPr>
            </w:pPr>
            <w:r>
              <w:rPr>
                <w:spacing w:val="-2"/>
                <w:sz w:val="22"/>
              </w:rPr>
              <w:t>0.01-</w:t>
            </w:r>
            <w:r>
              <w:rPr>
                <w:spacing w:val="-4"/>
                <w:sz w:val="22"/>
              </w:rPr>
              <w:t>0.99</w:t>
            </w:r>
          </w:p>
        </w:tc>
        <w:tc>
          <w:tcPr>
            <w:tcW w:w="1604" w:type="dxa"/>
          </w:tcPr>
          <w:p>
            <w:pPr>
              <w:pStyle w:val="TableParagraph"/>
              <w:spacing w:before="1"/>
              <w:ind w:left="550"/>
              <w:rPr>
                <w:sz w:val="14"/>
              </w:rPr>
            </w:pPr>
            <w:r>
              <w:rPr>
                <w:spacing w:val="-10"/>
                <w:sz w:val="14"/>
              </w:rPr>
              <w:t>3</w:t>
            </w:r>
          </w:p>
        </w:tc>
        <w:tc>
          <w:tcPr>
            <w:tcW w:w="972" w:type="dxa"/>
          </w:tcPr>
          <w:p>
            <w:pPr>
              <w:pStyle w:val="TableParagraph"/>
              <w:spacing w:before="27"/>
              <w:ind w:left="234"/>
              <w:rPr>
                <w:sz w:val="22"/>
              </w:rPr>
            </w:pPr>
            <w:r>
              <w:rPr>
                <w:spacing w:val="-2"/>
                <w:sz w:val="22"/>
              </w:rPr>
              <w:t>-</w:t>
            </w:r>
            <w:r>
              <w:rPr>
                <w:spacing w:val="-10"/>
                <w:sz w:val="22"/>
              </w:rPr>
              <w:t>-</w:t>
            </w:r>
          </w:p>
        </w:tc>
      </w:tr>
      <w:tr>
        <w:trPr>
          <w:trHeight w:val="597" w:hRule="atLeast"/>
        </w:trPr>
        <w:tc>
          <w:tcPr>
            <w:tcW w:w="3674" w:type="dxa"/>
            <w:tcBorders>
              <w:bottom w:val="single" w:sz="4" w:space="0" w:color="000000"/>
            </w:tcBorders>
          </w:tcPr>
          <w:p>
            <w:pPr>
              <w:pStyle w:val="TableParagraph"/>
              <w:spacing w:line="252" w:lineRule="exact" w:before="73"/>
              <w:ind w:left="108" w:right="2"/>
              <w:rPr>
                <w:sz w:val="22"/>
              </w:rPr>
            </w:pPr>
            <w:r>
              <w:rPr>
                <w:sz w:val="22"/>
              </w:rPr>
              <w:t>Have</w:t>
            </w:r>
            <w:r>
              <w:rPr>
                <w:spacing w:val="-5"/>
                <w:sz w:val="22"/>
              </w:rPr>
              <w:t> </w:t>
            </w:r>
            <w:r>
              <w:rPr>
                <w:sz w:val="22"/>
              </w:rPr>
              <w:t>used</w:t>
            </w:r>
            <w:r>
              <w:rPr>
                <w:spacing w:val="-5"/>
                <w:sz w:val="22"/>
              </w:rPr>
              <w:t> </w:t>
            </w:r>
            <w:r>
              <w:rPr>
                <w:sz w:val="22"/>
              </w:rPr>
              <w:t>(or</w:t>
            </w:r>
            <w:r>
              <w:rPr>
                <w:spacing w:val="-4"/>
                <w:sz w:val="22"/>
              </w:rPr>
              <w:t> </w:t>
            </w:r>
            <w:r>
              <w:rPr>
                <w:sz w:val="22"/>
              </w:rPr>
              <w:t>partner</w:t>
            </w:r>
            <w:r>
              <w:rPr>
                <w:spacing w:val="-7"/>
                <w:sz w:val="22"/>
              </w:rPr>
              <w:t> </w:t>
            </w:r>
            <w:r>
              <w:rPr>
                <w:sz w:val="22"/>
              </w:rPr>
              <w:t>has</w:t>
            </w:r>
            <w:r>
              <w:rPr>
                <w:spacing w:val="-5"/>
                <w:sz w:val="22"/>
              </w:rPr>
              <w:t> </w:t>
            </w:r>
            <w:r>
              <w:rPr>
                <w:sz w:val="22"/>
              </w:rPr>
              <w:t>used)</w:t>
            </w:r>
            <w:r>
              <w:rPr>
                <w:spacing w:val="-4"/>
                <w:sz w:val="22"/>
              </w:rPr>
              <w:t> </w:t>
            </w:r>
            <w:r>
              <w:rPr>
                <w:sz w:val="22"/>
              </w:rPr>
              <w:t>EC</w:t>
            </w:r>
            <w:r>
              <w:rPr>
                <w:spacing w:val="-9"/>
                <w:sz w:val="22"/>
              </w:rPr>
              <w:t> </w:t>
            </w:r>
            <w:r>
              <w:rPr>
                <w:sz w:val="22"/>
              </w:rPr>
              <w:t>in the past</w:t>
            </w:r>
          </w:p>
        </w:tc>
        <w:tc>
          <w:tcPr>
            <w:tcW w:w="1350" w:type="dxa"/>
            <w:tcBorders>
              <w:bottom w:val="single" w:sz="4" w:space="0" w:color="000000"/>
            </w:tcBorders>
          </w:tcPr>
          <w:p>
            <w:pPr>
              <w:pStyle w:val="TableParagraph"/>
              <w:spacing w:line="252" w:lineRule="exact" w:before="87"/>
              <w:ind w:right="183"/>
              <w:jc w:val="right"/>
              <w:rPr>
                <w:sz w:val="22"/>
              </w:rPr>
            </w:pPr>
            <w:r>
              <w:rPr>
                <w:spacing w:val="-2"/>
                <w:sz w:val="22"/>
              </w:rPr>
              <w:t>11.78*</w:t>
            </w:r>
          </w:p>
          <w:p>
            <w:pPr>
              <w:pStyle w:val="TableParagraph"/>
              <w:spacing w:line="238" w:lineRule="exact"/>
              <w:ind w:right="187"/>
              <w:jc w:val="right"/>
              <w:rPr>
                <w:sz w:val="22"/>
              </w:rPr>
            </w:pPr>
            <w:r>
              <w:rPr>
                <w:spacing w:val="-2"/>
                <w:sz w:val="22"/>
              </w:rPr>
              <w:t>1.45-95.74</w:t>
            </w:r>
          </w:p>
        </w:tc>
        <w:tc>
          <w:tcPr>
            <w:tcW w:w="1326" w:type="dxa"/>
            <w:tcBorders>
              <w:bottom w:val="single" w:sz="4" w:space="0" w:color="000000"/>
            </w:tcBorders>
          </w:tcPr>
          <w:p>
            <w:pPr>
              <w:pStyle w:val="TableParagraph"/>
              <w:spacing w:before="87"/>
              <w:ind w:right="187"/>
              <w:jc w:val="right"/>
              <w:rPr>
                <w:sz w:val="22"/>
              </w:rPr>
            </w:pPr>
            <w:r>
              <w:rPr>
                <w:spacing w:val="-2"/>
                <w:sz w:val="22"/>
              </w:rPr>
              <w:t>-</w:t>
            </w:r>
            <w:r>
              <w:rPr>
                <w:spacing w:val="-10"/>
                <w:sz w:val="22"/>
              </w:rPr>
              <w:t>-</w:t>
            </w:r>
          </w:p>
        </w:tc>
        <w:tc>
          <w:tcPr>
            <w:tcW w:w="1604" w:type="dxa"/>
            <w:tcBorders>
              <w:bottom w:val="single" w:sz="4" w:space="0" w:color="000000"/>
            </w:tcBorders>
          </w:tcPr>
          <w:p>
            <w:pPr>
              <w:pStyle w:val="TableParagraph"/>
              <w:spacing w:before="61"/>
              <w:ind w:left="550"/>
              <w:rPr>
                <w:sz w:val="14"/>
              </w:rPr>
            </w:pPr>
            <w:r>
              <w:rPr>
                <w:spacing w:val="-10"/>
                <w:sz w:val="14"/>
              </w:rPr>
              <w:t>3</w:t>
            </w:r>
          </w:p>
        </w:tc>
        <w:tc>
          <w:tcPr>
            <w:tcW w:w="972" w:type="dxa"/>
            <w:tcBorders>
              <w:bottom w:val="single" w:sz="4" w:space="0" w:color="000000"/>
            </w:tcBorders>
          </w:tcPr>
          <w:p>
            <w:pPr>
              <w:pStyle w:val="TableParagraph"/>
              <w:spacing w:before="87"/>
              <w:ind w:left="234"/>
              <w:rPr>
                <w:sz w:val="22"/>
              </w:rPr>
            </w:pPr>
            <w:r>
              <w:rPr>
                <w:spacing w:val="-2"/>
                <w:sz w:val="22"/>
              </w:rPr>
              <w:t>-</w:t>
            </w:r>
            <w:r>
              <w:rPr>
                <w:spacing w:val="-10"/>
                <w:sz w:val="22"/>
              </w:rPr>
              <w:t>-</w:t>
            </w:r>
          </w:p>
        </w:tc>
      </w:tr>
      <w:tr>
        <w:trPr>
          <w:trHeight w:val="1513" w:hRule="atLeast"/>
        </w:trPr>
        <w:tc>
          <w:tcPr>
            <w:tcW w:w="8926" w:type="dxa"/>
            <w:gridSpan w:val="5"/>
            <w:tcBorders>
              <w:top w:val="single" w:sz="4" w:space="0" w:color="000000"/>
            </w:tcBorders>
          </w:tcPr>
          <w:p>
            <w:pPr>
              <w:pStyle w:val="TableParagraph"/>
              <w:ind w:left="108" w:right="29"/>
              <w:rPr>
                <w:sz w:val="22"/>
              </w:rPr>
            </w:pPr>
            <w:r>
              <w:rPr>
                <w:sz w:val="22"/>
                <w:u w:val="single"/>
              </w:rPr>
              <w:t>Note</w:t>
            </w:r>
            <w:r>
              <w:rPr>
                <w:sz w:val="22"/>
                <w:u w:val="none"/>
              </w:rPr>
              <w:t>.</w:t>
            </w:r>
            <w:r>
              <w:rPr>
                <w:spacing w:val="-3"/>
                <w:sz w:val="22"/>
                <w:u w:val="none"/>
              </w:rPr>
              <w:t> </w:t>
            </w:r>
            <w:r>
              <w:rPr>
                <w:sz w:val="22"/>
                <w:u w:val="none"/>
              </w:rPr>
              <w:t>Adjusted</w:t>
            </w:r>
            <w:r>
              <w:rPr>
                <w:spacing w:val="-3"/>
                <w:sz w:val="22"/>
                <w:u w:val="none"/>
              </w:rPr>
              <w:t> </w:t>
            </w:r>
            <w:r>
              <w:rPr>
                <w:sz w:val="22"/>
                <w:u w:val="none"/>
              </w:rPr>
              <w:t>odds</w:t>
            </w:r>
            <w:r>
              <w:rPr>
                <w:spacing w:val="-3"/>
                <w:sz w:val="22"/>
                <w:u w:val="none"/>
              </w:rPr>
              <w:t> </w:t>
            </w:r>
            <w:r>
              <w:rPr>
                <w:sz w:val="22"/>
                <w:u w:val="none"/>
              </w:rPr>
              <w:t>ratios</w:t>
            </w:r>
            <w:r>
              <w:rPr>
                <w:spacing w:val="-5"/>
                <w:sz w:val="22"/>
                <w:u w:val="none"/>
              </w:rPr>
              <w:t> </w:t>
            </w:r>
            <w:r>
              <w:rPr>
                <w:sz w:val="22"/>
                <w:u w:val="none"/>
              </w:rPr>
              <w:t>(AORs)</w:t>
            </w:r>
            <w:r>
              <w:rPr>
                <w:spacing w:val="-2"/>
                <w:sz w:val="22"/>
                <w:u w:val="none"/>
              </w:rPr>
              <w:t> </w:t>
            </w:r>
            <w:r>
              <w:rPr>
                <w:sz w:val="22"/>
                <w:u w:val="none"/>
              </w:rPr>
              <w:t>were</w:t>
            </w:r>
            <w:r>
              <w:rPr>
                <w:spacing w:val="-3"/>
                <w:sz w:val="22"/>
                <w:u w:val="none"/>
              </w:rPr>
              <w:t> </w:t>
            </w:r>
            <w:r>
              <w:rPr>
                <w:sz w:val="22"/>
                <w:u w:val="none"/>
              </w:rPr>
              <w:t>adjusted</w:t>
            </w:r>
            <w:r>
              <w:rPr>
                <w:spacing w:val="-5"/>
                <w:sz w:val="22"/>
                <w:u w:val="none"/>
              </w:rPr>
              <w:t> </w:t>
            </w:r>
            <w:r>
              <w:rPr>
                <w:sz w:val="22"/>
                <w:u w:val="none"/>
              </w:rPr>
              <w:t>for</w:t>
            </w:r>
            <w:r>
              <w:rPr>
                <w:spacing w:val="-5"/>
                <w:sz w:val="22"/>
                <w:u w:val="none"/>
              </w:rPr>
              <w:t> </w:t>
            </w:r>
            <w:r>
              <w:rPr>
                <w:sz w:val="22"/>
                <w:u w:val="none"/>
              </w:rPr>
              <w:t>other</w:t>
            </w:r>
            <w:r>
              <w:rPr>
                <w:spacing w:val="-5"/>
                <w:sz w:val="22"/>
                <w:u w:val="none"/>
              </w:rPr>
              <w:t> </w:t>
            </w:r>
            <w:r>
              <w:rPr>
                <w:sz w:val="22"/>
                <w:u w:val="none"/>
              </w:rPr>
              <w:t>predictor</w:t>
            </w:r>
            <w:r>
              <w:rPr>
                <w:spacing w:val="-2"/>
                <w:sz w:val="22"/>
                <w:u w:val="none"/>
              </w:rPr>
              <w:t> </w:t>
            </w:r>
            <w:r>
              <w:rPr>
                <w:sz w:val="22"/>
                <w:u w:val="none"/>
              </w:rPr>
              <w:t>variables</w:t>
            </w:r>
            <w:r>
              <w:rPr>
                <w:spacing w:val="-3"/>
                <w:sz w:val="22"/>
                <w:u w:val="none"/>
              </w:rPr>
              <w:t> </w:t>
            </w:r>
            <w:r>
              <w:rPr>
                <w:sz w:val="22"/>
                <w:u w:val="none"/>
              </w:rPr>
              <w:t>that</w:t>
            </w:r>
            <w:r>
              <w:rPr>
                <w:spacing w:val="-5"/>
                <w:sz w:val="22"/>
                <w:u w:val="none"/>
              </w:rPr>
              <w:t> </w:t>
            </w:r>
            <w:r>
              <w:rPr>
                <w:sz w:val="22"/>
                <w:u w:val="none"/>
              </w:rPr>
              <w:t>were significantly associated with EC-related outcomes in bivariate analyses.</w:t>
            </w:r>
          </w:p>
          <w:p>
            <w:pPr>
              <w:pStyle w:val="TableParagraph"/>
              <w:spacing w:line="251" w:lineRule="exact"/>
              <w:ind w:left="108"/>
              <w:rPr>
                <w:sz w:val="22"/>
              </w:rPr>
            </w:pPr>
            <w:r>
              <w:rPr>
                <w:sz w:val="22"/>
                <w:vertAlign w:val="superscript"/>
              </w:rPr>
              <w:t>1</w:t>
            </w:r>
            <w:r>
              <w:rPr>
                <w:sz w:val="22"/>
                <w:vertAlign w:val="baseline"/>
              </w:rPr>
              <w:t>Past</w:t>
            </w:r>
            <w:r>
              <w:rPr>
                <w:spacing w:val="-2"/>
                <w:sz w:val="22"/>
                <w:vertAlign w:val="baseline"/>
              </w:rPr>
              <w:t> </w:t>
            </w:r>
            <w:r>
              <w:rPr>
                <w:sz w:val="22"/>
                <w:vertAlign w:val="baseline"/>
              </w:rPr>
              <w:t>EC</w:t>
            </w:r>
            <w:r>
              <w:rPr>
                <w:spacing w:val="-4"/>
                <w:sz w:val="22"/>
                <w:vertAlign w:val="baseline"/>
              </w:rPr>
              <w:t> </w:t>
            </w:r>
            <w:r>
              <w:rPr>
                <w:sz w:val="22"/>
                <w:vertAlign w:val="baseline"/>
              </w:rPr>
              <w:t>use</w:t>
            </w:r>
            <w:r>
              <w:rPr>
                <w:spacing w:val="-3"/>
                <w:sz w:val="22"/>
                <w:vertAlign w:val="baseline"/>
              </w:rPr>
              <w:t> </w:t>
            </w:r>
            <w:r>
              <w:rPr>
                <w:sz w:val="22"/>
                <w:vertAlign w:val="baseline"/>
              </w:rPr>
              <w:t>was</w:t>
            </w:r>
            <w:r>
              <w:rPr>
                <w:spacing w:val="-5"/>
                <w:sz w:val="22"/>
                <w:vertAlign w:val="baseline"/>
              </w:rPr>
              <w:t> </w:t>
            </w:r>
            <w:r>
              <w:rPr>
                <w:sz w:val="22"/>
                <w:vertAlign w:val="baseline"/>
              </w:rPr>
              <w:t>not</w:t>
            </w:r>
            <w:r>
              <w:rPr>
                <w:spacing w:val="-5"/>
                <w:sz w:val="22"/>
                <w:vertAlign w:val="baseline"/>
              </w:rPr>
              <w:t> </w:t>
            </w:r>
            <w:r>
              <w:rPr>
                <w:sz w:val="22"/>
                <w:vertAlign w:val="baseline"/>
              </w:rPr>
              <w:t>included</w:t>
            </w:r>
            <w:r>
              <w:rPr>
                <w:spacing w:val="-3"/>
                <w:sz w:val="22"/>
                <w:vertAlign w:val="baseline"/>
              </w:rPr>
              <w:t> </w:t>
            </w:r>
            <w:r>
              <w:rPr>
                <w:sz w:val="22"/>
                <w:vertAlign w:val="baseline"/>
              </w:rPr>
              <w:t>in</w:t>
            </w:r>
            <w:r>
              <w:rPr>
                <w:spacing w:val="-6"/>
                <w:sz w:val="22"/>
                <w:vertAlign w:val="baseline"/>
              </w:rPr>
              <w:t> </w:t>
            </w:r>
            <w:r>
              <w:rPr>
                <w:sz w:val="22"/>
                <w:vertAlign w:val="baseline"/>
              </w:rPr>
              <w:t>the</w:t>
            </w:r>
            <w:r>
              <w:rPr>
                <w:spacing w:val="-4"/>
                <w:sz w:val="22"/>
                <w:vertAlign w:val="baseline"/>
              </w:rPr>
              <w:t> </w:t>
            </w:r>
            <w:r>
              <w:rPr>
                <w:sz w:val="22"/>
                <w:vertAlign w:val="baseline"/>
              </w:rPr>
              <w:t>multivariate</w:t>
            </w:r>
            <w:r>
              <w:rPr>
                <w:spacing w:val="-3"/>
                <w:sz w:val="22"/>
                <w:vertAlign w:val="baseline"/>
              </w:rPr>
              <w:t> </w:t>
            </w:r>
            <w:r>
              <w:rPr>
                <w:sz w:val="22"/>
                <w:vertAlign w:val="baseline"/>
              </w:rPr>
              <w:t>model</w:t>
            </w:r>
            <w:r>
              <w:rPr>
                <w:spacing w:val="-2"/>
                <w:sz w:val="22"/>
                <w:vertAlign w:val="baseline"/>
              </w:rPr>
              <w:t> </w:t>
            </w:r>
            <w:r>
              <w:rPr>
                <w:sz w:val="22"/>
                <w:vertAlign w:val="baseline"/>
              </w:rPr>
              <w:t>to</w:t>
            </w:r>
            <w:r>
              <w:rPr>
                <w:spacing w:val="-3"/>
                <w:sz w:val="22"/>
                <w:vertAlign w:val="baseline"/>
              </w:rPr>
              <w:t> </w:t>
            </w:r>
            <w:r>
              <w:rPr>
                <w:sz w:val="22"/>
                <w:vertAlign w:val="baseline"/>
              </w:rPr>
              <w:t>increase</w:t>
            </w:r>
            <w:r>
              <w:rPr>
                <w:spacing w:val="-5"/>
                <w:sz w:val="22"/>
                <w:vertAlign w:val="baseline"/>
              </w:rPr>
              <w:t> </w:t>
            </w:r>
            <w:r>
              <w:rPr>
                <w:sz w:val="22"/>
                <w:vertAlign w:val="baseline"/>
              </w:rPr>
              <w:t>model</w:t>
            </w:r>
            <w:r>
              <w:rPr>
                <w:spacing w:val="-2"/>
                <w:sz w:val="22"/>
                <w:vertAlign w:val="baseline"/>
              </w:rPr>
              <w:t> </w:t>
            </w:r>
            <w:r>
              <w:rPr>
                <w:sz w:val="22"/>
                <w:vertAlign w:val="baseline"/>
              </w:rPr>
              <w:t>fit.</w:t>
            </w:r>
            <w:r>
              <w:rPr>
                <w:spacing w:val="-3"/>
                <w:sz w:val="22"/>
                <w:vertAlign w:val="baseline"/>
              </w:rPr>
              <w:t> </w:t>
            </w:r>
            <w:r>
              <w:rPr>
                <w:sz w:val="22"/>
                <w:vertAlign w:val="baseline"/>
              </w:rPr>
              <w:t>Nagelkerke</w:t>
            </w:r>
            <w:r>
              <w:rPr>
                <w:spacing w:val="-3"/>
                <w:sz w:val="22"/>
                <w:vertAlign w:val="baseline"/>
              </w:rPr>
              <w:t> </w:t>
            </w:r>
            <w:r>
              <w:rPr>
                <w:spacing w:val="-5"/>
                <w:sz w:val="22"/>
                <w:vertAlign w:val="baseline"/>
              </w:rPr>
              <w:t>R</w:t>
            </w:r>
            <w:r>
              <w:rPr>
                <w:spacing w:val="-5"/>
                <w:sz w:val="22"/>
                <w:vertAlign w:val="superscript"/>
              </w:rPr>
              <w:t>2</w:t>
            </w:r>
            <w:r>
              <w:rPr>
                <w:spacing w:val="-5"/>
                <w:sz w:val="22"/>
                <w:vertAlign w:val="baseline"/>
              </w:rPr>
              <w:t>=</w:t>
            </w:r>
          </w:p>
          <w:p>
            <w:pPr>
              <w:pStyle w:val="TableParagraph"/>
              <w:spacing w:line="253" w:lineRule="exact"/>
              <w:ind w:left="107"/>
              <w:rPr>
                <w:sz w:val="22"/>
              </w:rPr>
            </w:pPr>
            <w:r>
              <w:rPr>
                <w:spacing w:val="-2"/>
                <w:sz w:val="22"/>
              </w:rPr>
              <w:t>.507.</w:t>
            </w:r>
          </w:p>
          <w:p>
            <w:pPr>
              <w:pStyle w:val="TableParagraph"/>
              <w:spacing w:line="253" w:lineRule="exact"/>
              <w:ind w:left="108"/>
              <w:rPr>
                <w:sz w:val="22"/>
              </w:rPr>
            </w:pPr>
            <w:r>
              <w:rPr>
                <w:sz w:val="22"/>
                <w:vertAlign w:val="superscript"/>
              </w:rPr>
              <w:t>2</w:t>
            </w:r>
            <w:r>
              <w:rPr>
                <w:sz w:val="22"/>
                <w:vertAlign w:val="baseline"/>
              </w:rPr>
              <w:t>Nagelkerke</w:t>
            </w:r>
            <w:r>
              <w:rPr>
                <w:spacing w:val="-7"/>
                <w:sz w:val="22"/>
                <w:vertAlign w:val="baseline"/>
              </w:rPr>
              <w:t> </w:t>
            </w:r>
            <w:r>
              <w:rPr>
                <w:sz w:val="22"/>
                <w:vertAlign w:val="baseline"/>
              </w:rPr>
              <w:t>R</w:t>
            </w:r>
            <w:r>
              <w:rPr>
                <w:sz w:val="22"/>
                <w:vertAlign w:val="superscript"/>
              </w:rPr>
              <w:t>2</w:t>
            </w:r>
            <w:r>
              <w:rPr>
                <w:sz w:val="22"/>
                <w:vertAlign w:val="baseline"/>
              </w:rPr>
              <w:t>=</w:t>
            </w:r>
            <w:r>
              <w:rPr>
                <w:spacing w:val="-7"/>
                <w:sz w:val="22"/>
                <w:vertAlign w:val="baseline"/>
              </w:rPr>
              <w:t> </w:t>
            </w:r>
            <w:r>
              <w:rPr>
                <w:spacing w:val="-2"/>
                <w:sz w:val="22"/>
                <w:vertAlign w:val="baseline"/>
              </w:rPr>
              <w:t>.486.</w:t>
            </w:r>
          </w:p>
          <w:p>
            <w:pPr>
              <w:pStyle w:val="TableParagraph"/>
              <w:spacing w:line="233" w:lineRule="exact"/>
              <w:ind w:left="108"/>
              <w:rPr>
                <w:sz w:val="22"/>
              </w:rPr>
            </w:pPr>
            <w:r>
              <w:rPr>
                <w:sz w:val="22"/>
                <w:vertAlign w:val="superscript"/>
              </w:rPr>
              <w:t>3</w:t>
            </w:r>
            <w:r>
              <w:rPr>
                <w:sz w:val="22"/>
                <w:vertAlign w:val="baseline"/>
              </w:rPr>
              <w:t>Model</w:t>
            </w:r>
            <w:r>
              <w:rPr>
                <w:spacing w:val="-4"/>
                <w:sz w:val="22"/>
                <w:vertAlign w:val="baseline"/>
              </w:rPr>
              <w:t> </w:t>
            </w:r>
            <w:r>
              <w:rPr>
                <w:sz w:val="22"/>
                <w:vertAlign w:val="baseline"/>
              </w:rPr>
              <w:t>could</w:t>
            </w:r>
            <w:r>
              <w:rPr>
                <w:spacing w:val="-3"/>
                <w:sz w:val="22"/>
                <w:vertAlign w:val="baseline"/>
              </w:rPr>
              <w:t> </w:t>
            </w:r>
            <w:r>
              <w:rPr>
                <w:sz w:val="22"/>
                <w:vertAlign w:val="baseline"/>
              </w:rPr>
              <w:t>not</w:t>
            </w:r>
            <w:r>
              <w:rPr>
                <w:spacing w:val="-1"/>
                <w:sz w:val="22"/>
                <w:vertAlign w:val="baseline"/>
              </w:rPr>
              <w:t> </w:t>
            </w:r>
            <w:r>
              <w:rPr>
                <w:sz w:val="22"/>
                <w:vertAlign w:val="baseline"/>
              </w:rPr>
              <w:t>be</w:t>
            </w:r>
            <w:r>
              <w:rPr>
                <w:spacing w:val="-4"/>
                <w:sz w:val="22"/>
                <w:vertAlign w:val="baseline"/>
              </w:rPr>
              <w:t> </w:t>
            </w:r>
            <w:r>
              <w:rPr>
                <w:sz w:val="22"/>
                <w:vertAlign w:val="baseline"/>
              </w:rPr>
              <w:t>estimated</w:t>
            </w:r>
            <w:r>
              <w:rPr>
                <w:spacing w:val="-2"/>
                <w:sz w:val="22"/>
                <w:vertAlign w:val="baseline"/>
              </w:rPr>
              <w:t> </w:t>
            </w:r>
            <w:r>
              <w:rPr>
                <w:sz w:val="22"/>
                <w:vertAlign w:val="baseline"/>
              </w:rPr>
              <w:t>due</w:t>
            </w:r>
            <w:r>
              <w:rPr>
                <w:spacing w:val="-2"/>
                <w:sz w:val="22"/>
                <w:vertAlign w:val="baseline"/>
              </w:rPr>
              <w:t> </w:t>
            </w:r>
            <w:r>
              <w:rPr>
                <w:sz w:val="22"/>
                <w:vertAlign w:val="baseline"/>
              </w:rPr>
              <w:t>to</w:t>
            </w:r>
            <w:r>
              <w:rPr>
                <w:spacing w:val="-5"/>
                <w:sz w:val="22"/>
                <w:vertAlign w:val="baseline"/>
              </w:rPr>
              <w:t> </w:t>
            </w:r>
            <w:r>
              <w:rPr>
                <w:sz w:val="22"/>
                <w:vertAlign w:val="baseline"/>
              </w:rPr>
              <w:t>high</w:t>
            </w:r>
            <w:r>
              <w:rPr>
                <w:spacing w:val="-2"/>
                <w:sz w:val="22"/>
                <w:vertAlign w:val="baseline"/>
              </w:rPr>
              <w:t> </w:t>
            </w:r>
            <w:r>
              <w:rPr>
                <w:sz w:val="22"/>
                <w:vertAlign w:val="baseline"/>
              </w:rPr>
              <w:t>error</w:t>
            </w:r>
            <w:r>
              <w:rPr>
                <w:spacing w:val="-1"/>
                <w:sz w:val="22"/>
                <w:vertAlign w:val="baseline"/>
              </w:rPr>
              <w:t> </w:t>
            </w:r>
            <w:r>
              <w:rPr>
                <w:spacing w:val="-2"/>
                <w:sz w:val="22"/>
                <w:vertAlign w:val="baseline"/>
              </w:rPr>
              <w:t>terms.</w:t>
            </w:r>
          </w:p>
        </w:tc>
      </w:tr>
    </w:tbl>
    <w:p>
      <w:pPr>
        <w:spacing w:after="0" w:line="233" w:lineRule="exact"/>
        <w:rPr>
          <w:sz w:val="22"/>
        </w:rPr>
        <w:sectPr>
          <w:pgSz w:w="12240" w:h="15840"/>
          <w:pgMar w:header="699" w:footer="794" w:top="1340" w:bottom="980" w:left="1320" w:right="1320"/>
        </w:sectPr>
      </w:pPr>
    </w:p>
    <w:p>
      <w:pPr>
        <w:pStyle w:val="Heading1"/>
        <w:spacing w:line="240" w:lineRule="auto" w:before="10"/>
        <w:ind w:left="78" w:right="2"/>
        <w:jc w:val="center"/>
      </w:pPr>
      <w:r>
        <w:rPr>
          <w:spacing w:val="-2"/>
        </w:rPr>
        <w:t>Discussion</w:t>
      </w:r>
    </w:p>
    <w:p>
      <w:pPr>
        <w:pStyle w:val="BodyText"/>
        <w:spacing w:before="248"/>
        <w:ind w:right="38"/>
        <w:jc w:val="both"/>
      </w:pPr>
      <w:r>
        <w:rPr/>
        <w:t>This study examined whether knowledge and perceptions of EC were associated with intentions to use EC among college undergraduate women, as well as men’s support of their partner’s EC use. The demographics for both</w:t>
      </w:r>
      <w:r>
        <w:rPr>
          <w:spacing w:val="-5"/>
        </w:rPr>
        <w:t> </w:t>
      </w:r>
      <w:r>
        <w:rPr/>
        <w:t>females</w:t>
      </w:r>
      <w:r>
        <w:rPr>
          <w:spacing w:val="-5"/>
        </w:rPr>
        <w:t> </w:t>
      </w:r>
      <w:r>
        <w:rPr/>
        <w:t>and</w:t>
      </w:r>
      <w:r>
        <w:rPr>
          <w:spacing w:val="-5"/>
        </w:rPr>
        <w:t> </w:t>
      </w:r>
      <w:r>
        <w:rPr/>
        <w:t>males</w:t>
      </w:r>
      <w:r>
        <w:rPr>
          <w:spacing w:val="-5"/>
        </w:rPr>
        <w:t> </w:t>
      </w:r>
      <w:r>
        <w:rPr/>
        <w:t>were</w:t>
      </w:r>
      <w:r>
        <w:rPr>
          <w:spacing w:val="-5"/>
        </w:rPr>
        <w:t> </w:t>
      </w:r>
      <w:r>
        <w:rPr/>
        <w:t>comparable</w:t>
      </w:r>
      <w:r>
        <w:rPr>
          <w:spacing w:val="-7"/>
        </w:rPr>
        <w:t> </w:t>
      </w:r>
      <w:r>
        <w:rPr/>
        <w:t>to</w:t>
      </w:r>
      <w:r>
        <w:rPr>
          <w:spacing w:val="-5"/>
        </w:rPr>
        <w:t> </w:t>
      </w:r>
      <w:r>
        <w:rPr/>
        <w:t>each other for major, race/ethnicity, and sexual activity status.</w:t>
      </w:r>
    </w:p>
    <w:p>
      <w:pPr>
        <w:pStyle w:val="BodyText"/>
        <w:spacing w:before="251"/>
        <w:ind w:right="38"/>
        <w:jc w:val="both"/>
      </w:pPr>
      <w:r>
        <w:rPr/>
        <w:t>Knowing that EC can be obtained at any pharmacy in California without a prescription was a significant predictor of women’s EC use intentions, but not men’s intentions to support their female partner using EC if needed. This finding suggests that most likely, women are primarily responsible for obtaining EC if</w:t>
      </w:r>
      <w:r>
        <w:rPr>
          <w:spacing w:val="40"/>
        </w:rPr>
        <w:t> </w:t>
      </w:r>
      <w:r>
        <w:rPr/>
        <w:t>needed. Hence, raising women’s awareness that EC</w:t>
      </w:r>
      <w:r>
        <w:rPr>
          <w:spacing w:val="57"/>
          <w:w w:val="150"/>
        </w:rPr>
        <w:t> </w:t>
      </w:r>
      <w:r>
        <w:rPr/>
        <w:t>is</w:t>
      </w:r>
      <w:r>
        <w:rPr>
          <w:spacing w:val="59"/>
          <w:w w:val="150"/>
        </w:rPr>
        <w:t> </w:t>
      </w:r>
      <w:r>
        <w:rPr/>
        <w:t>available</w:t>
      </w:r>
      <w:r>
        <w:rPr>
          <w:spacing w:val="59"/>
          <w:w w:val="150"/>
        </w:rPr>
        <w:t> </w:t>
      </w:r>
      <w:r>
        <w:rPr/>
        <w:t>over</w:t>
      </w:r>
      <w:r>
        <w:rPr>
          <w:spacing w:val="59"/>
          <w:w w:val="150"/>
        </w:rPr>
        <w:t> </w:t>
      </w:r>
      <w:r>
        <w:rPr/>
        <w:t>the</w:t>
      </w:r>
      <w:r>
        <w:rPr>
          <w:spacing w:val="59"/>
          <w:w w:val="150"/>
        </w:rPr>
        <w:t> </w:t>
      </w:r>
      <w:r>
        <w:rPr/>
        <w:t>counter</w:t>
      </w:r>
      <w:r>
        <w:rPr>
          <w:spacing w:val="59"/>
          <w:w w:val="150"/>
        </w:rPr>
        <w:t> </w:t>
      </w:r>
      <w:r>
        <w:rPr/>
        <w:t>without</w:t>
      </w:r>
      <w:r>
        <w:rPr>
          <w:spacing w:val="57"/>
          <w:w w:val="150"/>
        </w:rPr>
        <w:t> </w:t>
      </w:r>
      <w:r>
        <w:rPr>
          <w:spacing w:val="-10"/>
        </w:rPr>
        <w:t>a</w:t>
      </w:r>
    </w:p>
    <w:p>
      <w:pPr>
        <w:pStyle w:val="BodyText"/>
        <w:spacing w:before="4"/>
        <w:ind w:left="120" w:right="116"/>
        <w:jc w:val="both"/>
      </w:pPr>
      <w:r>
        <w:rPr/>
        <w:br w:type="column"/>
      </w:r>
      <w:r>
        <w:rPr/>
        <w:t>prescription may be an effective strategy to increase EC</w:t>
      </w:r>
      <w:r>
        <w:rPr>
          <w:spacing w:val="-1"/>
        </w:rPr>
        <w:t> </w:t>
      </w:r>
      <w:r>
        <w:rPr/>
        <w:t>use in circumstances where they</w:t>
      </w:r>
      <w:r>
        <w:rPr>
          <w:spacing w:val="-2"/>
        </w:rPr>
        <w:t> </w:t>
      </w:r>
      <w:r>
        <w:rPr/>
        <w:t>are at high risk of becoming pregnant. Additionally, more</w:t>
      </w:r>
      <w:r>
        <w:rPr>
          <w:spacing w:val="-5"/>
        </w:rPr>
        <w:t> </w:t>
      </w:r>
      <w:r>
        <w:rPr/>
        <w:t>advertisements</w:t>
      </w:r>
      <w:r>
        <w:rPr>
          <w:spacing w:val="-5"/>
        </w:rPr>
        <w:t> </w:t>
      </w:r>
      <w:r>
        <w:rPr/>
        <w:t>about</w:t>
      </w:r>
      <w:r>
        <w:rPr>
          <w:spacing w:val="-7"/>
        </w:rPr>
        <w:t> </w:t>
      </w:r>
      <w:r>
        <w:rPr/>
        <w:t>the</w:t>
      </w:r>
      <w:r>
        <w:rPr>
          <w:spacing w:val="-5"/>
        </w:rPr>
        <w:t> </w:t>
      </w:r>
      <w:r>
        <w:rPr/>
        <w:t>availability</w:t>
      </w:r>
      <w:r>
        <w:rPr>
          <w:spacing w:val="-8"/>
        </w:rPr>
        <w:t> </w:t>
      </w:r>
      <w:r>
        <w:rPr/>
        <w:t>of</w:t>
      </w:r>
      <w:r>
        <w:rPr>
          <w:spacing w:val="-4"/>
        </w:rPr>
        <w:t> </w:t>
      </w:r>
      <w:r>
        <w:rPr/>
        <w:t>EC on college campuses that do provide EC might be helpful.</w:t>
      </w:r>
    </w:p>
    <w:p>
      <w:pPr>
        <w:pStyle w:val="BodyText"/>
        <w:spacing w:before="253"/>
        <w:ind w:right="115"/>
        <w:jc w:val="both"/>
      </w:pPr>
      <w:r>
        <w:rPr/>
        <w:t>Among the women sampled in this study, the perception that EC use is morally wrong was related to lower rates of intentions to use EC if needed. Similarly in another study (Campbell, Busby &amp; Steyer, 2008), 38% percent of respondents stated that they would use EC only</w:t>
      </w:r>
      <w:r>
        <w:rPr>
          <w:spacing w:val="40"/>
        </w:rPr>
        <w:t> </w:t>
      </w:r>
      <w:r>
        <w:rPr/>
        <w:t>if they knew it worked before fertilization or implantation. Furthermore, in our study we</w:t>
      </w:r>
      <w:r>
        <w:rPr>
          <w:spacing w:val="40"/>
        </w:rPr>
        <w:t> </w:t>
      </w:r>
      <w:r>
        <w:rPr/>
        <w:t>found the belief that EC is worth using even if the monetary cost is high was associated with</w:t>
      </w:r>
      <w:r>
        <w:rPr>
          <w:spacing w:val="40"/>
        </w:rPr>
        <w:t> </w:t>
      </w:r>
      <w:r>
        <w:rPr/>
        <w:t>EC use intentions. It is possible that</w:t>
      </w:r>
      <w:r>
        <w:rPr>
          <w:spacing w:val="40"/>
        </w:rPr>
        <w:t> </w:t>
      </w:r>
      <w:r>
        <w:rPr/>
        <w:t>endorsement of this belief is a proxy for being knowledgeable</w:t>
      </w:r>
      <w:r>
        <w:rPr>
          <w:spacing w:val="43"/>
        </w:rPr>
        <w:t> </w:t>
      </w:r>
      <w:r>
        <w:rPr/>
        <w:t>of</w:t>
      </w:r>
      <w:r>
        <w:rPr>
          <w:spacing w:val="44"/>
        </w:rPr>
        <w:t> </w:t>
      </w:r>
      <w:r>
        <w:rPr/>
        <w:t>how</w:t>
      </w:r>
      <w:r>
        <w:rPr>
          <w:spacing w:val="41"/>
        </w:rPr>
        <w:t> </w:t>
      </w:r>
      <w:r>
        <w:rPr/>
        <w:t>EC</w:t>
      </w:r>
      <w:r>
        <w:rPr>
          <w:spacing w:val="42"/>
        </w:rPr>
        <w:t> </w:t>
      </w:r>
      <w:r>
        <w:rPr/>
        <w:t>works</w:t>
      </w:r>
      <w:r>
        <w:rPr>
          <w:spacing w:val="43"/>
        </w:rPr>
        <w:t> </w:t>
      </w:r>
      <w:r>
        <w:rPr/>
        <w:t>(e.g.,</w:t>
      </w:r>
      <w:r>
        <w:rPr>
          <w:spacing w:val="43"/>
        </w:rPr>
        <w:t> </w:t>
      </w:r>
      <w:r>
        <w:rPr/>
        <w:t>that</w:t>
      </w:r>
      <w:r>
        <w:rPr>
          <w:spacing w:val="44"/>
        </w:rPr>
        <w:t> </w:t>
      </w:r>
      <w:r>
        <w:rPr>
          <w:spacing w:val="-5"/>
        </w:rPr>
        <w:t>it</w:t>
      </w:r>
    </w:p>
    <w:p>
      <w:pPr>
        <w:spacing w:after="0"/>
        <w:jc w:val="both"/>
        <w:sectPr>
          <w:type w:val="continuous"/>
          <w:pgSz w:w="12240" w:h="15840"/>
          <w:pgMar w:header="699" w:footer="794" w:top="1340" w:bottom="980" w:left="1320" w:right="1320"/>
          <w:cols w:num="2" w:equalWidth="0">
            <w:col w:w="4484" w:space="556"/>
            <w:col w:w="4560"/>
          </w:cols>
        </w:sectPr>
      </w:pPr>
    </w:p>
    <w:p>
      <w:pPr>
        <w:pStyle w:val="BodyText"/>
        <w:spacing w:before="84"/>
        <w:ind w:right="39"/>
        <w:jc w:val="both"/>
      </w:pPr>
      <w:r>
        <w:rPr/>
        <w:t>prevents rather than terminates a pregnancy),</w:t>
      </w:r>
      <w:r>
        <w:rPr>
          <w:spacing w:val="40"/>
        </w:rPr>
        <w:t> </w:t>
      </w:r>
      <w:r>
        <w:rPr/>
        <w:t>and that EC is effective if used in the intended manner (e.g., within 72 hours of last sexual intercourse).</w:t>
      </w:r>
      <w:r>
        <w:rPr>
          <w:spacing w:val="40"/>
        </w:rPr>
        <w:t> </w:t>
      </w:r>
      <w:r>
        <w:rPr/>
        <w:t>Thus, the findings of our study, combined with findings of previous research, indicate that women’s willingness to use EC might increase if they were better educated</w:t>
      </w:r>
      <w:r>
        <w:rPr>
          <w:spacing w:val="40"/>
        </w:rPr>
        <w:t> </w:t>
      </w:r>
      <w:r>
        <w:rPr/>
        <w:t>about</w:t>
      </w:r>
      <w:r>
        <w:rPr>
          <w:spacing w:val="-3"/>
        </w:rPr>
        <w:t> </w:t>
      </w:r>
      <w:r>
        <w:rPr/>
        <w:t>how</w:t>
      </w:r>
      <w:r>
        <w:rPr>
          <w:spacing w:val="-3"/>
        </w:rPr>
        <w:t> </w:t>
      </w:r>
      <w:r>
        <w:rPr/>
        <w:t>EC</w:t>
      </w:r>
      <w:r>
        <w:rPr>
          <w:spacing w:val="-3"/>
        </w:rPr>
        <w:t> </w:t>
      </w:r>
      <w:r>
        <w:rPr/>
        <w:t>works,</w:t>
      </w:r>
      <w:r>
        <w:rPr>
          <w:spacing w:val="-2"/>
        </w:rPr>
        <w:t> </w:t>
      </w:r>
      <w:r>
        <w:rPr/>
        <w:t>where</w:t>
      </w:r>
      <w:r>
        <w:rPr>
          <w:spacing w:val="-1"/>
        </w:rPr>
        <w:t> </w:t>
      </w:r>
      <w:r>
        <w:rPr/>
        <w:t>it</w:t>
      </w:r>
      <w:r>
        <w:rPr>
          <w:spacing w:val="-3"/>
        </w:rPr>
        <w:t> </w:t>
      </w:r>
      <w:r>
        <w:rPr/>
        <w:t>can</w:t>
      </w:r>
      <w:r>
        <w:rPr>
          <w:spacing w:val="-4"/>
        </w:rPr>
        <w:t> </w:t>
      </w:r>
      <w:r>
        <w:rPr/>
        <w:t>be</w:t>
      </w:r>
      <w:r>
        <w:rPr>
          <w:spacing w:val="-1"/>
        </w:rPr>
        <w:t> </w:t>
      </w:r>
      <w:r>
        <w:rPr/>
        <w:t>purchased, and its effectiveness.</w:t>
      </w:r>
    </w:p>
    <w:p>
      <w:pPr>
        <w:pStyle w:val="BodyText"/>
        <w:spacing w:before="252"/>
        <w:ind w:right="38"/>
        <w:jc w:val="both"/>
      </w:pPr>
      <w:r>
        <w:rPr/>
        <w:t>We also found that past abortions were associated with lower rates of EC use intentions. It is possible that women with an abortion</w:t>
      </w:r>
      <w:r>
        <w:rPr>
          <w:spacing w:val="40"/>
        </w:rPr>
        <w:t> </w:t>
      </w:r>
      <w:r>
        <w:rPr/>
        <w:t>history lack knowledge regarding how EC</w:t>
      </w:r>
      <w:r>
        <w:rPr>
          <w:spacing w:val="40"/>
        </w:rPr>
        <w:t> </w:t>
      </w:r>
      <w:r>
        <w:rPr/>
        <w:t>works, hence their lack of intention to use EC if needed. In one study of women ages 18-35, ambivalence regarding contraception use was linked to lower rates of contraception use</w:t>
      </w:r>
      <w:r>
        <w:rPr>
          <w:spacing w:val="40"/>
        </w:rPr>
        <w:t> </w:t>
      </w:r>
      <w:r>
        <w:rPr/>
        <w:t>(hence, higher risk for pregnancy and</w:t>
      </w:r>
      <w:r>
        <w:rPr>
          <w:spacing w:val="40"/>
        </w:rPr>
        <w:t> </w:t>
      </w:r>
      <w:r>
        <w:rPr/>
        <w:t>subsequent abortion) (Neustadt, Holmquist, Davis,</w:t>
      </w:r>
      <w:r>
        <w:rPr>
          <w:spacing w:val="-2"/>
        </w:rPr>
        <w:t> </w:t>
      </w:r>
      <w:r>
        <w:rPr/>
        <w:t>&amp;</w:t>
      </w:r>
      <w:r>
        <w:rPr>
          <w:spacing w:val="-3"/>
        </w:rPr>
        <w:t> </w:t>
      </w:r>
      <w:r>
        <w:rPr/>
        <w:t>Gilliam,</w:t>
      </w:r>
      <w:r>
        <w:rPr>
          <w:spacing w:val="-2"/>
        </w:rPr>
        <w:t> </w:t>
      </w:r>
      <w:r>
        <w:rPr/>
        <w:t>2011).</w:t>
      </w:r>
      <w:r>
        <w:rPr>
          <w:spacing w:val="-2"/>
        </w:rPr>
        <w:t> </w:t>
      </w:r>
      <w:r>
        <w:rPr/>
        <w:t>In</w:t>
      </w:r>
      <w:r>
        <w:rPr>
          <w:spacing w:val="-2"/>
        </w:rPr>
        <w:t> </w:t>
      </w:r>
      <w:r>
        <w:rPr/>
        <w:t>other</w:t>
      </w:r>
      <w:r>
        <w:rPr>
          <w:spacing w:val="-2"/>
        </w:rPr>
        <w:t> </w:t>
      </w:r>
      <w:r>
        <w:rPr/>
        <w:t>studies</w:t>
      </w:r>
      <w:r>
        <w:rPr>
          <w:spacing w:val="-2"/>
        </w:rPr>
        <w:t> </w:t>
      </w:r>
      <w:r>
        <w:rPr/>
        <w:t>outside of</w:t>
      </w:r>
      <w:r>
        <w:rPr>
          <w:spacing w:val="-3"/>
        </w:rPr>
        <w:t> </w:t>
      </w:r>
      <w:r>
        <w:rPr/>
        <w:t>the</w:t>
      </w:r>
      <w:r>
        <w:rPr>
          <w:spacing w:val="-2"/>
        </w:rPr>
        <w:t> </w:t>
      </w:r>
      <w:r>
        <w:rPr/>
        <w:t>U.S.,</w:t>
      </w:r>
      <w:r>
        <w:rPr>
          <w:spacing w:val="-3"/>
        </w:rPr>
        <w:t> </w:t>
      </w:r>
      <w:r>
        <w:rPr/>
        <w:t>the</w:t>
      </w:r>
      <w:r>
        <w:rPr>
          <w:spacing w:val="-2"/>
        </w:rPr>
        <w:t> </w:t>
      </w:r>
      <w:r>
        <w:rPr/>
        <w:t>majority</w:t>
      </w:r>
      <w:r>
        <w:rPr>
          <w:spacing w:val="-4"/>
        </w:rPr>
        <w:t> </w:t>
      </w:r>
      <w:r>
        <w:rPr/>
        <w:t>of</w:t>
      </w:r>
      <w:r>
        <w:rPr>
          <w:spacing w:val="-3"/>
        </w:rPr>
        <w:t> </w:t>
      </w:r>
      <w:r>
        <w:rPr/>
        <w:t>women</w:t>
      </w:r>
      <w:r>
        <w:rPr>
          <w:spacing w:val="-3"/>
        </w:rPr>
        <w:t> </w:t>
      </w:r>
      <w:r>
        <w:rPr/>
        <w:t>who</w:t>
      </w:r>
      <w:r>
        <w:rPr>
          <w:spacing w:val="-3"/>
        </w:rPr>
        <w:t> </w:t>
      </w:r>
      <w:r>
        <w:rPr/>
        <w:t>received post-abortion counseling were either unaware of modern</w:t>
      </w:r>
      <w:r>
        <w:rPr>
          <w:spacing w:val="-4"/>
        </w:rPr>
        <w:t> </w:t>
      </w:r>
      <w:r>
        <w:rPr/>
        <w:t>contraceptive</w:t>
      </w:r>
      <w:r>
        <w:rPr>
          <w:spacing w:val="-1"/>
        </w:rPr>
        <w:t> </w:t>
      </w:r>
      <w:r>
        <w:rPr/>
        <w:t>methods</w:t>
      </w:r>
      <w:r>
        <w:rPr>
          <w:spacing w:val="-3"/>
        </w:rPr>
        <w:t> </w:t>
      </w:r>
      <w:r>
        <w:rPr/>
        <w:t>or</w:t>
      </w:r>
      <w:r>
        <w:rPr>
          <w:spacing w:val="-3"/>
        </w:rPr>
        <w:t> </w:t>
      </w:r>
      <w:r>
        <w:rPr/>
        <w:t>were</w:t>
      </w:r>
      <w:r>
        <w:rPr>
          <w:spacing w:val="-3"/>
        </w:rPr>
        <w:t> </w:t>
      </w:r>
      <w:r>
        <w:rPr/>
        <w:t>not</w:t>
      </w:r>
      <w:r>
        <w:rPr>
          <w:spacing w:val="-3"/>
        </w:rPr>
        <w:t> </w:t>
      </w:r>
      <w:r>
        <w:rPr/>
        <w:t>using them at the time of their pregnancy (Ceylan, Ertem, Saka, &amp; Akdeniz, 2009; Mayi-Tsonga, Obiang, Minkobame, Ngouafo, Ambounda, &amp; DeSousa, 2014). However, following</w:t>
      </w:r>
      <w:r>
        <w:rPr>
          <w:spacing w:val="40"/>
        </w:rPr>
        <w:t> </w:t>
      </w:r>
      <w:r>
        <w:rPr/>
        <w:t>counseling, the majority of them accepted and used contraception at follow-up. These findings suggest that post-abortion counseling is strongly needed among women who have experienced an abortion to increase their intentions to use contraceptives, including EC if needed.</w:t>
      </w:r>
    </w:p>
    <w:p>
      <w:pPr>
        <w:pStyle w:val="BodyText"/>
        <w:tabs>
          <w:tab w:pos="1497" w:val="left" w:leader="none"/>
          <w:tab w:pos="3119" w:val="left" w:leader="none"/>
        </w:tabs>
        <w:spacing w:before="251"/>
        <w:ind w:right="40"/>
        <w:jc w:val="both"/>
      </w:pPr>
      <w:r>
        <w:rPr/>
        <w:t>Our results for males suggested that moral objections to EC use were most predictive of their intentions to support their sexual partners</w:t>
      </w:r>
      <w:r>
        <w:rPr>
          <w:spacing w:val="40"/>
        </w:rPr>
        <w:t> </w:t>
      </w:r>
      <w:r>
        <w:rPr/>
        <w:t>in</w:t>
      </w:r>
      <w:r>
        <w:rPr>
          <w:spacing w:val="-3"/>
        </w:rPr>
        <w:t> </w:t>
      </w:r>
      <w:r>
        <w:rPr/>
        <w:t>using</w:t>
      </w:r>
      <w:r>
        <w:rPr>
          <w:spacing w:val="-4"/>
        </w:rPr>
        <w:t> </w:t>
      </w:r>
      <w:r>
        <w:rPr/>
        <w:t>EC.</w:t>
      </w:r>
      <w:r>
        <w:rPr>
          <w:spacing w:val="-3"/>
        </w:rPr>
        <w:t> </w:t>
      </w:r>
      <w:r>
        <w:rPr/>
        <w:t>Previous</w:t>
      </w:r>
      <w:r>
        <w:rPr>
          <w:spacing w:val="-2"/>
        </w:rPr>
        <w:t> </w:t>
      </w:r>
      <w:r>
        <w:rPr/>
        <w:t>research</w:t>
      </w:r>
      <w:r>
        <w:rPr>
          <w:spacing w:val="-3"/>
        </w:rPr>
        <w:t> </w:t>
      </w:r>
      <w:r>
        <w:rPr/>
        <w:t>has</w:t>
      </w:r>
      <w:r>
        <w:rPr>
          <w:spacing w:val="-2"/>
        </w:rPr>
        <w:t> </w:t>
      </w:r>
      <w:r>
        <w:rPr/>
        <w:t>indicated</w:t>
      </w:r>
      <w:r>
        <w:rPr>
          <w:spacing w:val="-3"/>
        </w:rPr>
        <w:t> </w:t>
      </w:r>
      <w:r>
        <w:rPr/>
        <w:t>that although college-aged, single men generally express a strong desire to prevent pregnancy, there are several other dynamic factors (e.g., </w:t>
      </w:r>
      <w:r>
        <w:rPr>
          <w:spacing w:val="-2"/>
        </w:rPr>
        <w:t>religious</w:t>
      </w:r>
      <w:r>
        <w:rPr/>
        <w:tab/>
      </w:r>
      <w:r>
        <w:rPr>
          <w:spacing w:val="-2"/>
        </w:rPr>
        <w:t>upbringing,</w:t>
      </w:r>
      <w:r>
        <w:rPr/>
        <w:tab/>
      </w:r>
      <w:r>
        <w:rPr>
          <w:spacing w:val="-2"/>
        </w:rPr>
        <w:t>socioeconomic </w:t>
      </w:r>
      <w:r>
        <w:rPr/>
        <w:t>circumstances, degree of family connectedness, and quality of peer relationships) that dictate whether or not men will actually support contraceptive use (Raine, Gard, Boyer, Haider, Brown, Hernandez &amp; Harper, 2010). Hence, sexual health intervention specialists may consider encouraging college students to have discussions</w:t>
      </w:r>
      <w:r>
        <w:rPr>
          <w:spacing w:val="59"/>
          <w:w w:val="150"/>
        </w:rPr>
        <w:t> </w:t>
      </w:r>
      <w:r>
        <w:rPr/>
        <w:t>about</w:t>
      </w:r>
      <w:r>
        <w:rPr>
          <w:spacing w:val="62"/>
          <w:w w:val="150"/>
        </w:rPr>
        <w:t> </w:t>
      </w:r>
      <w:r>
        <w:rPr/>
        <w:t>contraception</w:t>
      </w:r>
      <w:r>
        <w:rPr>
          <w:spacing w:val="61"/>
          <w:w w:val="150"/>
        </w:rPr>
        <w:t> </w:t>
      </w:r>
      <w:r>
        <w:rPr/>
        <w:t>options</w:t>
      </w:r>
      <w:r>
        <w:rPr>
          <w:spacing w:val="63"/>
          <w:w w:val="150"/>
        </w:rPr>
        <w:t> </w:t>
      </w:r>
      <w:r>
        <w:rPr>
          <w:spacing w:val="-4"/>
        </w:rPr>
        <w:t>with</w:t>
      </w:r>
    </w:p>
    <w:p>
      <w:pPr>
        <w:pStyle w:val="BodyText"/>
        <w:spacing w:before="81"/>
        <w:ind w:right="116"/>
        <w:jc w:val="both"/>
      </w:pPr>
      <w:r>
        <w:rPr/>
        <w:br w:type="column"/>
      </w:r>
      <w:r>
        <w:rPr/>
        <w:t>their potential sexual partners. Such discussions may help men and women choose sexual partners who have more compatible moral</w:t>
      </w:r>
      <w:r>
        <w:rPr>
          <w:spacing w:val="40"/>
        </w:rPr>
        <w:t> </w:t>
      </w:r>
      <w:r>
        <w:rPr/>
        <w:t>beliefs regarding EC use.</w:t>
      </w:r>
    </w:p>
    <w:p>
      <w:pPr>
        <w:pStyle w:val="BodyText"/>
        <w:spacing w:before="253"/>
        <w:ind w:right="113"/>
        <w:jc w:val="both"/>
      </w:pPr>
      <w:r>
        <w:rPr/>
        <w:t>Although</w:t>
      </w:r>
      <w:r>
        <w:rPr>
          <w:spacing w:val="-4"/>
        </w:rPr>
        <w:t> </w:t>
      </w:r>
      <w:r>
        <w:rPr/>
        <w:t>we</w:t>
      </w:r>
      <w:r>
        <w:rPr>
          <w:spacing w:val="-4"/>
        </w:rPr>
        <w:t> </w:t>
      </w:r>
      <w:r>
        <w:rPr/>
        <w:t>did</w:t>
      </w:r>
      <w:r>
        <w:rPr>
          <w:spacing w:val="-4"/>
        </w:rPr>
        <w:t> </w:t>
      </w:r>
      <w:r>
        <w:rPr/>
        <w:t>not</w:t>
      </w:r>
      <w:r>
        <w:rPr>
          <w:spacing w:val="-3"/>
        </w:rPr>
        <w:t> </w:t>
      </w:r>
      <w:r>
        <w:rPr/>
        <w:t>seek</w:t>
      </w:r>
      <w:r>
        <w:rPr>
          <w:spacing w:val="-6"/>
        </w:rPr>
        <w:t> </w:t>
      </w:r>
      <w:r>
        <w:rPr/>
        <w:t>to</w:t>
      </w:r>
      <w:r>
        <w:rPr>
          <w:spacing w:val="-4"/>
        </w:rPr>
        <w:t> </w:t>
      </w:r>
      <w:r>
        <w:rPr/>
        <w:t>estimate</w:t>
      </w:r>
      <w:r>
        <w:rPr>
          <w:spacing w:val="-4"/>
        </w:rPr>
        <w:t> </w:t>
      </w:r>
      <w:r>
        <w:rPr/>
        <w:t>rates</w:t>
      </w:r>
      <w:r>
        <w:rPr>
          <w:spacing w:val="-4"/>
        </w:rPr>
        <w:t> </w:t>
      </w:r>
      <w:r>
        <w:rPr/>
        <w:t>of</w:t>
      </w:r>
      <w:r>
        <w:rPr>
          <w:spacing w:val="-5"/>
        </w:rPr>
        <w:t> </w:t>
      </w:r>
      <w:r>
        <w:rPr/>
        <w:t>EC use among college students, it is worth noting that self-reported rates of EC use was relatively high among our sample compared to other samples in previous studies. Specifically, 40%</w:t>
      </w:r>
      <w:r>
        <w:rPr>
          <w:spacing w:val="80"/>
        </w:rPr>
        <w:t> </w:t>
      </w:r>
      <w:r>
        <w:rPr/>
        <w:t>of the sexually active females in our sample reported lifetime EC use, compared to only 23% in a nationwide sample of sexually active</w:t>
      </w:r>
      <w:r>
        <w:rPr>
          <w:spacing w:val="40"/>
        </w:rPr>
        <w:t> </w:t>
      </w:r>
      <w:r>
        <w:rPr/>
        <w:t>women ages 20-24 in 2006-2010.</w:t>
      </w:r>
      <w:r>
        <w:rPr>
          <w:spacing w:val="40"/>
        </w:rPr>
        <w:t> </w:t>
      </w:r>
      <w:r>
        <w:rPr/>
        <w:t>The high rate of self-reported EC use in our study could be attributed to increasing availability and popularity of EC during the study period (2009- 2010),</w:t>
      </w:r>
      <w:r>
        <w:rPr>
          <w:spacing w:val="-3"/>
        </w:rPr>
        <w:t> </w:t>
      </w:r>
      <w:r>
        <w:rPr/>
        <w:t>as well</w:t>
      </w:r>
      <w:r>
        <w:rPr>
          <w:spacing w:val="-2"/>
        </w:rPr>
        <w:t> </w:t>
      </w:r>
      <w:r>
        <w:rPr/>
        <w:t>as</w:t>
      </w:r>
      <w:r>
        <w:rPr>
          <w:spacing w:val="-3"/>
        </w:rPr>
        <w:t> </w:t>
      </w:r>
      <w:r>
        <w:rPr/>
        <w:t>the</w:t>
      </w:r>
      <w:r>
        <w:rPr>
          <w:spacing w:val="-3"/>
        </w:rPr>
        <w:t> </w:t>
      </w:r>
      <w:r>
        <w:rPr/>
        <w:t>study</w:t>
      </w:r>
      <w:r>
        <w:rPr>
          <w:spacing w:val="-3"/>
        </w:rPr>
        <w:t> </w:t>
      </w:r>
      <w:r>
        <w:rPr/>
        <w:t>setting</w:t>
      </w:r>
      <w:r>
        <w:rPr>
          <w:spacing w:val="-3"/>
        </w:rPr>
        <w:t> </w:t>
      </w:r>
      <w:r>
        <w:rPr/>
        <w:t>(a large public college in southern California, as opposed to a smaller, religious-based college), and the classes surveyed (personal health classes, which may indicate an increased interest in health-related topics compared to the average college student). The relatively high rate of EC use reported by males in this study (regarding their female partners’ use of EC) is difficult to interpret, because it is not clear whether male partners are reliable reporters of their partners’ EC use.</w:t>
      </w:r>
    </w:p>
    <w:p>
      <w:pPr>
        <w:pStyle w:val="BodyText"/>
        <w:spacing w:before="4"/>
        <w:ind w:left="0"/>
      </w:pPr>
    </w:p>
    <w:p>
      <w:pPr>
        <w:pStyle w:val="Heading1"/>
        <w:ind w:left="119"/>
      </w:pPr>
      <w:r>
        <w:rPr>
          <w:spacing w:val="-2"/>
        </w:rPr>
        <w:t>Limitations</w:t>
      </w:r>
    </w:p>
    <w:p>
      <w:pPr>
        <w:pStyle w:val="BodyText"/>
        <w:ind w:right="113"/>
        <w:jc w:val="both"/>
      </w:pPr>
      <w:r>
        <w:rPr/>
        <w:t>Some limitations of the present study need to be considered.</w:t>
      </w:r>
      <w:r>
        <w:rPr>
          <w:spacing w:val="-1"/>
        </w:rPr>
        <w:t> </w:t>
      </w:r>
      <w:r>
        <w:rPr/>
        <w:t>First,</w:t>
      </w:r>
      <w:r>
        <w:rPr>
          <w:spacing w:val="-1"/>
        </w:rPr>
        <w:t> </w:t>
      </w:r>
      <w:r>
        <w:rPr/>
        <w:t>the design</w:t>
      </w:r>
      <w:r>
        <w:rPr>
          <w:spacing w:val="-1"/>
        </w:rPr>
        <w:t> </w:t>
      </w:r>
      <w:r>
        <w:rPr/>
        <w:t>of this study</w:t>
      </w:r>
      <w:r>
        <w:rPr>
          <w:spacing w:val="-3"/>
        </w:rPr>
        <w:t> </w:t>
      </w:r>
      <w:r>
        <w:rPr/>
        <w:t>did</w:t>
      </w:r>
      <w:r>
        <w:rPr>
          <w:spacing w:val="-1"/>
        </w:rPr>
        <w:t> </w:t>
      </w:r>
      <w:r>
        <w:rPr/>
        <w:t>not allow us to determine whether our predictor variables preceded EC use intentions among women and support for EC use among men. Second, this study was limited by the self- reporting accuracy of the participants, which</w:t>
      </w:r>
      <w:r>
        <w:rPr>
          <w:spacing w:val="40"/>
        </w:rPr>
        <w:t> </w:t>
      </w:r>
      <w:r>
        <w:rPr/>
        <w:t>may be subject to recall bias, a lack of knowledge (e.g., males’ knowledge of their female partners’ EC use), and answering questions in a socially desirable manner. Third, the relatively small sample sizes utilized in this study resulted in relatively large confidence intervals for the odds ratios derived from our analyses. Larger sample sizes would have provided more reliable estimates of the relationships between the predictors and EC- related outcomes in this</w:t>
      </w:r>
      <w:r>
        <w:rPr>
          <w:spacing w:val="-1"/>
        </w:rPr>
        <w:t> </w:t>
      </w:r>
      <w:r>
        <w:rPr/>
        <w:t>study. Fourth, this</w:t>
      </w:r>
      <w:r>
        <w:rPr>
          <w:spacing w:val="-1"/>
        </w:rPr>
        <w:t> </w:t>
      </w:r>
      <w:r>
        <w:rPr/>
        <w:t>study included individuals who were primarily between</w:t>
      </w:r>
      <w:r>
        <w:rPr>
          <w:spacing w:val="-1"/>
        </w:rPr>
        <w:t> </w:t>
      </w:r>
      <w:r>
        <w:rPr/>
        <w:t>the</w:t>
      </w:r>
      <w:r>
        <w:rPr>
          <w:spacing w:val="-3"/>
        </w:rPr>
        <w:t> </w:t>
      </w:r>
      <w:r>
        <w:rPr/>
        <w:t>ages of 18</w:t>
      </w:r>
      <w:r>
        <w:rPr>
          <w:spacing w:val="-1"/>
        </w:rPr>
        <w:t> </w:t>
      </w:r>
      <w:r>
        <w:rPr/>
        <w:t>and</w:t>
      </w:r>
      <w:r>
        <w:rPr>
          <w:spacing w:val="-3"/>
        </w:rPr>
        <w:t> </w:t>
      </w:r>
      <w:r>
        <w:rPr/>
        <w:t>23</w:t>
      </w:r>
      <w:r>
        <w:rPr>
          <w:spacing w:val="-1"/>
        </w:rPr>
        <w:t> </w:t>
      </w:r>
      <w:r>
        <w:rPr/>
        <w:t>and</w:t>
      </w:r>
      <w:r>
        <w:rPr>
          <w:spacing w:val="-1"/>
        </w:rPr>
        <w:t> </w:t>
      </w:r>
      <w:r>
        <w:rPr/>
        <w:t>were enrolled in</w:t>
      </w:r>
      <w:r>
        <w:rPr>
          <w:spacing w:val="14"/>
        </w:rPr>
        <w:t> </w:t>
      </w:r>
      <w:r>
        <w:rPr/>
        <w:t>an</w:t>
      </w:r>
      <w:r>
        <w:rPr>
          <w:spacing w:val="14"/>
        </w:rPr>
        <w:t> </w:t>
      </w:r>
      <w:r>
        <w:rPr/>
        <w:t>introductory</w:t>
      </w:r>
      <w:r>
        <w:rPr>
          <w:spacing w:val="12"/>
        </w:rPr>
        <w:t> </w:t>
      </w:r>
      <w:r>
        <w:rPr/>
        <w:t>general</w:t>
      </w:r>
      <w:r>
        <w:rPr>
          <w:spacing w:val="13"/>
        </w:rPr>
        <w:t> </w:t>
      </w:r>
      <w:r>
        <w:rPr/>
        <w:t>education</w:t>
      </w:r>
      <w:r>
        <w:rPr>
          <w:spacing w:val="14"/>
        </w:rPr>
        <w:t> </w:t>
      </w:r>
      <w:r>
        <w:rPr/>
        <w:t>course</w:t>
      </w:r>
      <w:r>
        <w:rPr>
          <w:spacing w:val="15"/>
        </w:rPr>
        <w:t> </w:t>
      </w:r>
      <w:r>
        <w:rPr/>
        <w:t>in</w:t>
      </w:r>
      <w:r>
        <w:rPr>
          <w:spacing w:val="15"/>
        </w:rPr>
        <w:t> </w:t>
      </w:r>
      <w:r>
        <w:rPr>
          <w:spacing w:val="-10"/>
        </w:rPr>
        <w:t>a</w:t>
      </w:r>
    </w:p>
    <w:p>
      <w:pPr>
        <w:spacing w:after="0"/>
        <w:jc w:val="both"/>
        <w:sectPr>
          <w:pgSz w:w="12240" w:h="15840"/>
          <w:pgMar w:header="699" w:footer="794" w:top="1340" w:bottom="980" w:left="1320" w:right="1320"/>
          <w:cols w:num="2" w:equalWidth="0">
            <w:col w:w="4486" w:space="554"/>
            <w:col w:w="4560"/>
          </w:cols>
        </w:sectPr>
      </w:pPr>
    </w:p>
    <w:p>
      <w:pPr>
        <w:pStyle w:val="BodyText"/>
        <w:spacing w:before="84"/>
        <w:ind w:left="120" w:right="38"/>
        <w:jc w:val="both"/>
      </w:pPr>
      <w:r>
        <w:rPr/>
        <w:t>community college in southern California. Hence, the results may not be generalizable to non-college-aged individuals, those not</w:t>
      </w:r>
      <w:r>
        <w:rPr>
          <w:spacing w:val="40"/>
        </w:rPr>
        <w:t> </w:t>
      </w:r>
      <w:r>
        <w:rPr/>
        <w:t>attending college, students who live in a more traditional university setting (e.g., not a commuter campus), those who attend religious- affiliated universities, and those who reside in regions other than southern California.</w:t>
      </w:r>
    </w:p>
    <w:p>
      <w:pPr>
        <w:pStyle w:val="BodyText"/>
        <w:spacing w:before="5"/>
        <w:ind w:left="0"/>
      </w:pPr>
    </w:p>
    <w:p>
      <w:pPr>
        <w:pStyle w:val="Heading1"/>
        <w:spacing w:line="240" w:lineRule="auto"/>
        <w:ind w:left="78"/>
        <w:jc w:val="center"/>
      </w:pPr>
      <w:r>
        <w:rPr>
          <w:spacing w:val="-2"/>
        </w:rPr>
        <w:t>Conclusion</w:t>
      </w:r>
    </w:p>
    <w:p>
      <w:pPr>
        <w:pStyle w:val="BodyText"/>
        <w:spacing w:before="246"/>
        <w:ind w:left="120" w:right="38"/>
        <w:jc w:val="both"/>
      </w:pPr>
      <w:r>
        <w:rPr/>
        <w:t>Our findings suggest that males’ moral stance regarding</w:t>
      </w:r>
      <w:r>
        <w:rPr>
          <w:spacing w:val="-2"/>
        </w:rPr>
        <w:t> </w:t>
      </w:r>
      <w:r>
        <w:rPr/>
        <w:t>EC use is predictive of their</w:t>
      </w:r>
      <w:r>
        <w:rPr>
          <w:spacing w:val="-1"/>
        </w:rPr>
        <w:t> </w:t>
      </w:r>
      <w:r>
        <w:rPr/>
        <w:t>intentions to support their sexual partners in their use of EC. This finding is highly relevant to future unintended pregnancy prevention efforts, since male partners’ support for EC use has been related to women’s actual use of EC (Pratt, Stephenson, &amp; Mann, 2014).</w:t>
      </w:r>
      <w:r>
        <w:rPr>
          <w:spacing w:val="40"/>
        </w:rPr>
        <w:t> </w:t>
      </w:r>
      <w:r>
        <w:rPr/>
        <w:t>Hence, male partners appear to play a significant role in contraceptive decisions. Furthermore, intervention strategies utilizing media and friendship networks to promote EC use are needed. Such approaches are likely to be effective, as studies have determined that adolescents get most of their contraceptive information</w:t>
      </w:r>
      <w:r>
        <w:rPr>
          <w:spacing w:val="58"/>
          <w:w w:val="150"/>
        </w:rPr>
        <w:t> </w:t>
      </w:r>
      <w:r>
        <w:rPr/>
        <w:t>from</w:t>
      </w:r>
      <w:r>
        <w:rPr>
          <w:spacing w:val="58"/>
          <w:w w:val="150"/>
        </w:rPr>
        <w:t> </w:t>
      </w:r>
      <w:r>
        <w:rPr/>
        <w:t>friends</w:t>
      </w:r>
      <w:r>
        <w:rPr>
          <w:spacing w:val="59"/>
          <w:w w:val="150"/>
        </w:rPr>
        <w:t> </w:t>
      </w:r>
      <w:r>
        <w:rPr/>
        <w:t>and</w:t>
      </w:r>
      <w:r>
        <w:rPr>
          <w:spacing w:val="59"/>
          <w:w w:val="150"/>
        </w:rPr>
        <w:t> </w:t>
      </w:r>
      <w:r>
        <w:rPr/>
        <w:t>coital</w:t>
      </w:r>
      <w:r>
        <w:rPr>
          <w:spacing w:val="62"/>
          <w:w w:val="150"/>
        </w:rPr>
        <w:t> </w:t>
      </w:r>
      <w:r>
        <w:rPr>
          <w:spacing w:val="-2"/>
        </w:rPr>
        <w:t>partners</w:t>
      </w:r>
    </w:p>
    <w:p>
      <w:pPr>
        <w:pStyle w:val="BodyText"/>
        <w:spacing w:before="83"/>
        <w:ind w:left="120" w:right="116"/>
        <w:jc w:val="both"/>
      </w:pPr>
      <w:r>
        <w:rPr/>
        <w:br w:type="column"/>
      </w:r>
      <w:r>
        <w:rPr/>
        <w:t>(Ryan, Franzetta, Manlove &amp; Holcombe, 2007; Whitley, 1990).</w:t>
      </w:r>
    </w:p>
    <w:p>
      <w:pPr>
        <w:pStyle w:val="BodyText"/>
        <w:spacing w:before="252"/>
        <w:ind w:left="120" w:right="114"/>
        <w:jc w:val="both"/>
      </w:pPr>
      <w:r>
        <w:rPr/>
        <w:t>Encouraging male involvement in all contraceptive decisions and expanding accessibility to EC may help young men and women prevent unintended pregnancies. For example, social support interventions that involve male partners are already being implemented to successfully increase women’s rates of breast self-examinations and mammograms (Kagawa-Singer, Tanjasiri, Valdez, Yu &amp;</w:t>
      </w:r>
      <w:r>
        <w:rPr>
          <w:spacing w:val="-2"/>
        </w:rPr>
        <w:t> </w:t>
      </w:r>
      <w:r>
        <w:rPr/>
        <w:t>Foo, 2009). Involvement of males in contraception efforts, including EC use, appear to be promising, because the evidence provided in this study and other studies (e.g,, Neustadt, Holmquist, Davis, &amp; Gilliam, 2011; Pratt, Stephenson, &amp; Mann, 2014) suggest that a men and women think differently about contraception and a woman’s relationship with her male partner may play a role in</w:t>
      </w:r>
      <w:r>
        <w:rPr>
          <w:spacing w:val="80"/>
        </w:rPr>
        <w:t> </w:t>
      </w:r>
      <w:r>
        <w:rPr/>
        <w:t>contraceptive decisions.</w:t>
      </w:r>
    </w:p>
    <w:p>
      <w:pPr>
        <w:pStyle w:val="BodyText"/>
        <w:spacing w:before="3"/>
        <w:ind w:left="0"/>
      </w:pPr>
    </w:p>
    <w:p>
      <w:pPr>
        <w:pStyle w:val="Heading1"/>
        <w:spacing w:line="251" w:lineRule="exact"/>
      </w:pPr>
      <w:r>
        <w:rPr>
          <w:spacing w:val="-2"/>
        </w:rPr>
        <w:t>Acknowledgements</w:t>
      </w:r>
    </w:p>
    <w:p>
      <w:pPr>
        <w:pStyle w:val="BodyText"/>
        <w:ind w:left="120" w:right="115"/>
        <w:jc w:val="both"/>
      </w:pPr>
      <w:r>
        <w:rPr/>
        <w:t>We</w:t>
      </w:r>
      <w:r>
        <w:rPr>
          <w:spacing w:val="-2"/>
        </w:rPr>
        <w:t> </w:t>
      </w:r>
      <w:r>
        <w:rPr/>
        <w:t>would</w:t>
      </w:r>
      <w:r>
        <w:rPr>
          <w:spacing w:val="-3"/>
        </w:rPr>
        <w:t> </w:t>
      </w:r>
      <w:r>
        <w:rPr/>
        <w:t>like</w:t>
      </w:r>
      <w:r>
        <w:rPr>
          <w:spacing w:val="-2"/>
        </w:rPr>
        <w:t> </w:t>
      </w:r>
      <w:r>
        <w:rPr/>
        <w:t>to</w:t>
      </w:r>
      <w:r>
        <w:rPr>
          <w:spacing w:val="-3"/>
        </w:rPr>
        <w:t> </w:t>
      </w:r>
      <w:r>
        <w:rPr/>
        <w:t>thank</w:t>
      </w:r>
      <w:r>
        <w:rPr>
          <w:spacing w:val="-5"/>
        </w:rPr>
        <w:t> </w:t>
      </w:r>
      <w:r>
        <w:rPr/>
        <w:t>Anna</w:t>
      </w:r>
      <w:r>
        <w:rPr>
          <w:spacing w:val="-2"/>
        </w:rPr>
        <w:t> </w:t>
      </w:r>
      <w:r>
        <w:rPr/>
        <w:t>Hanlon,</w:t>
      </w:r>
      <w:r>
        <w:rPr>
          <w:spacing w:val="-3"/>
        </w:rPr>
        <w:t> </w:t>
      </w:r>
      <w:r>
        <w:rPr/>
        <w:t>California State University, Fullerton and Orange Coast College for their support.</w:t>
      </w:r>
      <w:r>
        <w:rPr>
          <w:spacing w:val="40"/>
        </w:rPr>
        <w:t> </w:t>
      </w:r>
      <w:r>
        <w:rPr/>
        <w:t>We also thank Dr. Laura Chandler for her guidance.</w:t>
      </w:r>
    </w:p>
    <w:p>
      <w:pPr>
        <w:spacing w:after="0"/>
        <w:jc w:val="both"/>
        <w:sectPr>
          <w:pgSz w:w="12240" w:h="15840"/>
          <w:pgMar w:header="699" w:footer="794" w:top="1340" w:bottom="980" w:left="1320" w:right="1320"/>
          <w:cols w:num="2" w:equalWidth="0">
            <w:col w:w="4484" w:space="556"/>
            <w:col w:w="4560"/>
          </w:cols>
        </w:sectPr>
      </w:pPr>
    </w:p>
    <w:p>
      <w:pPr>
        <w:pStyle w:val="BodyText"/>
        <w:spacing w:before="3"/>
        <w:ind w:left="0"/>
      </w:pPr>
    </w:p>
    <w:p>
      <w:pPr>
        <w:pStyle w:val="Heading1"/>
        <w:ind w:left="119"/>
      </w:pPr>
      <w:r>
        <w:rPr>
          <w:spacing w:val="-2"/>
        </w:rPr>
        <w:t>References</w:t>
      </w:r>
    </w:p>
    <w:p>
      <w:pPr>
        <w:pStyle w:val="BodyText"/>
        <w:spacing w:line="250" w:lineRule="exact"/>
      </w:pPr>
      <w:r>
        <w:rPr/>
        <w:t>American</w:t>
      </w:r>
      <w:r>
        <w:rPr>
          <w:spacing w:val="-6"/>
        </w:rPr>
        <w:t> </w:t>
      </w:r>
      <w:r>
        <w:rPr/>
        <w:t>College</w:t>
      </w:r>
      <w:r>
        <w:rPr>
          <w:spacing w:val="-6"/>
        </w:rPr>
        <w:t> </w:t>
      </w:r>
      <w:r>
        <w:rPr/>
        <w:t>Health</w:t>
      </w:r>
      <w:r>
        <w:rPr>
          <w:spacing w:val="-9"/>
        </w:rPr>
        <w:t> </w:t>
      </w:r>
      <w:r>
        <w:rPr/>
        <w:t>Association-National</w:t>
      </w:r>
      <w:r>
        <w:rPr>
          <w:spacing w:val="-5"/>
        </w:rPr>
        <w:t> </w:t>
      </w:r>
      <w:r>
        <w:rPr/>
        <w:t>College</w:t>
      </w:r>
      <w:r>
        <w:rPr>
          <w:spacing w:val="-5"/>
        </w:rPr>
        <w:t> </w:t>
      </w:r>
      <w:r>
        <w:rPr/>
        <w:t>Health</w:t>
      </w:r>
      <w:r>
        <w:rPr>
          <w:spacing w:val="-6"/>
        </w:rPr>
        <w:t> </w:t>
      </w:r>
      <w:r>
        <w:rPr/>
        <w:t>Assessment</w:t>
      </w:r>
      <w:r>
        <w:rPr>
          <w:spacing w:val="-5"/>
        </w:rPr>
        <w:t> </w:t>
      </w:r>
      <w:r>
        <w:rPr/>
        <w:t>II</w:t>
      </w:r>
      <w:r>
        <w:rPr>
          <w:spacing w:val="-8"/>
        </w:rPr>
        <w:t> </w:t>
      </w:r>
      <w:r>
        <w:rPr/>
        <w:t>(ACHA-NCHAII)</w:t>
      </w:r>
      <w:r>
        <w:rPr>
          <w:spacing w:val="45"/>
        </w:rPr>
        <w:t> </w:t>
      </w:r>
      <w:r>
        <w:rPr>
          <w:spacing w:val="-2"/>
        </w:rPr>
        <w:t>(2013).</w:t>
      </w:r>
    </w:p>
    <w:p>
      <w:pPr>
        <w:pStyle w:val="BodyText"/>
        <w:spacing w:before="2"/>
        <w:ind w:left="840" w:right="1033"/>
      </w:pPr>
      <w:r>
        <w:rPr/>
        <w:t>Spring 2013 reference group executive summary. Retrieved from: http://www.acha- </w:t>
      </w:r>
      <w:r>
        <w:rPr>
          <w:spacing w:val="-2"/>
        </w:rPr>
        <w:t>ncha.org/docs/ACHA-NCHA-II_ReferenceGroup_ExecutiveSummary_Spring2013.pdf</w:t>
      </w:r>
    </w:p>
    <w:p>
      <w:pPr>
        <w:spacing w:line="242" w:lineRule="auto" w:before="0"/>
        <w:ind w:left="839" w:right="0" w:hanging="720"/>
        <w:jc w:val="left"/>
        <w:rPr>
          <w:sz w:val="22"/>
        </w:rPr>
      </w:pPr>
      <w:r>
        <w:rPr>
          <w:sz w:val="22"/>
        </w:rPr>
        <w:t>Brindis,</w:t>
      </w:r>
      <w:r>
        <w:rPr>
          <w:spacing w:val="-2"/>
          <w:sz w:val="22"/>
        </w:rPr>
        <w:t> </w:t>
      </w:r>
      <w:r>
        <w:rPr>
          <w:sz w:val="22"/>
        </w:rPr>
        <w:t>C.,</w:t>
      </w:r>
      <w:r>
        <w:rPr>
          <w:spacing w:val="-2"/>
          <w:sz w:val="22"/>
        </w:rPr>
        <w:t> </w:t>
      </w:r>
      <w:r>
        <w:rPr>
          <w:sz w:val="22"/>
        </w:rPr>
        <w:t>Barenbaum,</w:t>
      </w:r>
      <w:r>
        <w:rPr>
          <w:spacing w:val="-2"/>
          <w:sz w:val="22"/>
        </w:rPr>
        <w:t> </w:t>
      </w:r>
      <w:r>
        <w:rPr>
          <w:sz w:val="22"/>
        </w:rPr>
        <w:t>M.,</w:t>
      </w:r>
      <w:r>
        <w:rPr>
          <w:spacing w:val="-2"/>
          <w:sz w:val="22"/>
        </w:rPr>
        <w:t> </w:t>
      </w:r>
      <w:r>
        <w:rPr>
          <w:sz w:val="22"/>
        </w:rPr>
        <w:t>Sanchez-Flores,</w:t>
      </w:r>
      <w:r>
        <w:rPr>
          <w:spacing w:val="-2"/>
          <w:sz w:val="22"/>
        </w:rPr>
        <w:t> </w:t>
      </w:r>
      <w:r>
        <w:rPr>
          <w:sz w:val="22"/>
        </w:rPr>
        <w:t>H.,</w:t>
      </w:r>
      <w:r>
        <w:rPr>
          <w:spacing w:val="-4"/>
          <w:sz w:val="22"/>
        </w:rPr>
        <w:t> </w:t>
      </w:r>
      <w:r>
        <w:rPr>
          <w:sz w:val="22"/>
        </w:rPr>
        <w:t>McCarter,</w:t>
      </w:r>
      <w:r>
        <w:rPr>
          <w:spacing w:val="-4"/>
          <w:sz w:val="22"/>
        </w:rPr>
        <w:t> </w:t>
      </w:r>
      <w:r>
        <w:rPr>
          <w:sz w:val="22"/>
        </w:rPr>
        <w:t>V.</w:t>
      </w:r>
      <w:r>
        <w:rPr>
          <w:spacing w:val="-2"/>
          <w:sz w:val="22"/>
        </w:rPr>
        <w:t> </w:t>
      </w:r>
      <w:r>
        <w:rPr>
          <w:sz w:val="22"/>
        </w:rPr>
        <w:t>&amp;</w:t>
      </w:r>
      <w:r>
        <w:rPr>
          <w:spacing w:val="-3"/>
          <w:sz w:val="22"/>
        </w:rPr>
        <w:t> </w:t>
      </w:r>
      <w:r>
        <w:rPr>
          <w:sz w:val="22"/>
        </w:rPr>
        <w:t>Chand,</w:t>
      </w:r>
      <w:r>
        <w:rPr>
          <w:spacing w:val="-2"/>
          <w:sz w:val="22"/>
        </w:rPr>
        <w:t> </w:t>
      </w:r>
      <w:r>
        <w:rPr>
          <w:sz w:val="22"/>
        </w:rPr>
        <w:t>R.</w:t>
      </w:r>
      <w:r>
        <w:rPr>
          <w:spacing w:val="-4"/>
          <w:sz w:val="22"/>
        </w:rPr>
        <w:t> </w:t>
      </w:r>
      <w:r>
        <w:rPr>
          <w:sz w:val="22"/>
        </w:rPr>
        <w:t>(2005).</w:t>
      </w:r>
      <w:r>
        <w:rPr>
          <w:spacing w:val="-2"/>
          <w:sz w:val="22"/>
        </w:rPr>
        <w:t> </w:t>
      </w:r>
      <w:r>
        <w:rPr>
          <w:sz w:val="22"/>
        </w:rPr>
        <w:t>Let’s</w:t>
      </w:r>
      <w:r>
        <w:rPr>
          <w:spacing w:val="-2"/>
          <w:sz w:val="22"/>
        </w:rPr>
        <w:t> </w:t>
      </w:r>
      <w:r>
        <w:rPr>
          <w:sz w:val="22"/>
        </w:rPr>
        <w:t>hear</w:t>
      </w:r>
      <w:r>
        <w:rPr>
          <w:spacing w:val="-3"/>
          <w:sz w:val="22"/>
        </w:rPr>
        <w:t> </w:t>
      </w:r>
      <w:r>
        <w:rPr>
          <w:sz w:val="22"/>
        </w:rPr>
        <w:t>it</w:t>
      </w:r>
      <w:r>
        <w:rPr>
          <w:spacing w:val="-3"/>
          <w:sz w:val="22"/>
        </w:rPr>
        <w:t> </w:t>
      </w:r>
      <w:r>
        <w:rPr>
          <w:sz w:val="22"/>
        </w:rPr>
        <w:t>for</w:t>
      </w:r>
      <w:r>
        <w:rPr>
          <w:spacing w:val="-3"/>
          <w:sz w:val="22"/>
        </w:rPr>
        <w:t> </w:t>
      </w:r>
      <w:r>
        <w:rPr>
          <w:sz w:val="22"/>
        </w:rPr>
        <w:t>the guys:</w:t>
      </w:r>
      <w:r>
        <w:rPr>
          <w:spacing w:val="-4"/>
          <w:sz w:val="22"/>
        </w:rPr>
        <w:t> </w:t>
      </w:r>
      <w:r>
        <w:rPr>
          <w:sz w:val="22"/>
        </w:rPr>
        <w:t>California’s</w:t>
      </w:r>
      <w:r>
        <w:rPr>
          <w:spacing w:val="-5"/>
          <w:sz w:val="22"/>
        </w:rPr>
        <w:t> </w:t>
      </w:r>
      <w:r>
        <w:rPr>
          <w:sz w:val="22"/>
        </w:rPr>
        <w:t>male</w:t>
      </w:r>
      <w:r>
        <w:rPr>
          <w:spacing w:val="-4"/>
          <w:sz w:val="22"/>
        </w:rPr>
        <w:t> </w:t>
      </w:r>
      <w:r>
        <w:rPr>
          <w:sz w:val="22"/>
        </w:rPr>
        <w:t>involvement</w:t>
      </w:r>
      <w:r>
        <w:rPr>
          <w:spacing w:val="-4"/>
          <w:sz w:val="22"/>
        </w:rPr>
        <w:t> </w:t>
      </w:r>
      <w:r>
        <w:rPr>
          <w:sz w:val="22"/>
        </w:rPr>
        <w:t>program.</w:t>
      </w:r>
      <w:r>
        <w:rPr>
          <w:spacing w:val="-5"/>
          <w:sz w:val="22"/>
        </w:rPr>
        <w:t> </w:t>
      </w:r>
      <w:r>
        <w:rPr>
          <w:i/>
          <w:sz w:val="22"/>
        </w:rPr>
        <w:t>International</w:t>
      </w:r>
      <w:r>
        <w:rPr>
          <w:i/>
          <w:spacing w:val="-3"/>
          <w:sz w:val="22"/>
        </w:rPr>
        <w:t> </w:t>
      </w:r>
      <w:r>
        <w:rPr>
          <w:i/>
          <w:sz w:val="22"/>
        </w:rPr>
        <w:t>Journal</w:t>
      </w:r>
      <w:r>
        <w:rPr>
          <w:i/>
          <w:spacing w:val="-7"/>
          <w:sz w:val="22"/>
        </w:rPr>
        <w:t> </w:t>
      </w:r>
      <w:r>
        <w:rPr>
          <w:i/>
          <w:sz w:val="22"/>
        </w:rPr>
        <w:t>of</w:t>
      </w:r>
      <w:r>
        <w:rPr>
          <w:i/>
          <w:spacing w:val="-6"/>
          <w:sz w:val="22"/>
        </w:rPr>
        <w:t> </w:t>
      </w:r>
      <w:r>
        <w:rPr>
          <w:i/>
          <w:sz w:val="22"/>
        </w:rPr>
        <w:t>Men’s</w:t>
      </w:r>
      <w:r>
        <w:rPr>
          <w:i/>
          <w:spacing w:val="-5"/>
          <w:sz w:val="22"/>
        </w:rPr>
        <w:t> </w:t>
      </w:r>
      <w:r>
        <w:rPr>
          <w:i/>
          <w:sz w:val="22"/>
        </w:rPr>
        <w:t>Health,</w:t>
      </w:r>
      <w:r>
        <w:rPr>
          <w:i/>
          <w:spacing w:val="-7"/>
          <w:sz w:val="22"/>
        </w:rPr>
        <w:t> </w:t>
      </w:r>
      <w:r>
        <w:rPr>
          <w:i/>
          <w:sz w:val="22"/>
        </w:rPr>
        <w:t>4</w:t>
      </w:r>
      <w:r>
        <w:rPr>
          <w:sz w:val="22"/>
        </w:rPr>
        <w:t>(1),</w:t>
      </w:r>
      <w:r>
        <w:rPr>
          <w:spacing w:val="-4"/>
          <w:sz w:val="22"/>
        </w:rPr>
        <w:t> </w:t>
      </w:r>
      <w:r>
        <w:rPr>
          <w:spacing w:val="-5"/>
          <w:sz w:val="22"/>
        </w:rPr>
        <w:t>29-</w:t>
      </w:r>
    </w:p>
    <w:p>
      <w:pPr>
        <w:pStyle w:val="BodyText"/>
        <w:spacing w:line="248" w:lineRule="exact"/>
        <w:ind w:left="839"/>
      </w:pPr>
      <w:r>
        <w:rPr/>
        <w:t>53.</w:t>
      </w:r>
      <w:r>
        <w:rPr>
          <w:spacing w:val="-6"/>
        </w:rPr>
        <w:t> </w:t>
      </w:r>
      <w:r>
        <w:rPr/>
        <w:t>Retrieved</w:t>
      </w:r>
      <w:r>
        <w:rPr>
          <w:spacing w:val="-5"/>
        </w:rPr>
        <w:t> </w:t>
      </w:r>
      <w:r>
        <w:rPr/>
        <w:t>from:</w:t>
      </w:r>
      <w:r>
        <w:rPr>
          <w:spacing w:val="-2"/>
        </w:rPr>
        <w:t> </w:t>
      </w:r>
      <w:hyperlink r:id="rId14">
        <w:r>
          <w:rPr>
            <w:spacing w:val="-2"/>
          </w:rPr>
          <w:t>http://mensstudies.metapress.com/content/nu8jjt416q405u68/</w:t>
        </w:r>
      </w:hyperlink>
    </w:p>
    <w:p>
      <w:pPr>
        <w:pStyle w:val="BodyText"/>
        <w:ind w:left="839" w:right="77" w:hanging="721"/>
      </w:pPr>
      <w:r>
        <w:rPr/>
        <w:t>Campbell,</w:t>
      </w:r>
      <w:r>
        <w:rPr>
          <w:spacing w:val="-5"/>
        </w:rPr>
        <w:t> </w:t>
      </w:r>
      <w:r>
        <w:rPr/>
        <w:t>J.,</w:t>
      </w:r>
      <w:r>
        <w:rPr>
          <w:spacing w:val="-2"/>
        </w:rPr>
        <w:t> </w:t>
      </w:r>
      <w:r>
        <w:rPr/>
        <w:t>Busby,</w:t>
      </w:r>
      <w:r>
        <w:rPr>
          <w:spacing w:val="-2"/>
        </w:rPr>
        <w:t> </w:t>
      </w:r>
      <w:r>
        <w:rPr/>
        <w:t>S.</w:t>
      </w:r>
      <w:r>
        <w:rPr>
          <w:spacing w:val="-2"/>
        </w:rPr>
        <w:t> </w:t>
      </w:r>
      <w:r>
        <w:rPr/>
        <w:t>&amp;</w:t>
      </w:r>
      <w:r>
        <w:rPr>
          <w:spacing w:val="-4"/>
        </w:rPr>
        <w:t> </w:t>
      </w:r>
      <w:r>
        <w:rPr/>
        <w:t>Steyer,</w:t>
      </w:r>
      <w:r>
        <w:rPr>
          <w:spacing w:val="-5"/>
        </w:rPr>
        <w:t> </w:t>
      </w:r>
      <w:r>
        <w:rPr/>
        <w:t>T.</w:t>
      </w:r>
      <w:r>
        <w:rPr>
          <w:spacing w:val="-5"/>
        </w:rPr>
        <w:t> </w:t>
      </w:r>
      <w:r>
        <w:rPr/>
        <w:t>(2008).</w:t>
      </w:r>
      <w:r>
        <w:rPr>
          <w:spacing w:val="-2"/>
        </w:rPr>
        <w:t> </w:t>
      </w:r>
      <w:r>
        <w:rPr/>
        <w:t>Attitudes</w:t>
      </w:r>
      <w:r>
        <w:rPr>
          <w:spacing w:val="-4"/>
        </w:rPr>
        <w:t> </w:t>
      </w:r>
      <w:r>
        <w:rPr/>
        <w:t>and</w:t>
      </w:r>
      <w:r>
        <w:rPr>
          <w:spacing w:val="-2"/>
        </w:rPr>
        <w:t> </w:t>
      </w:r>
      <w:r>
        <w:rPr/>
        <w:t>beliefs</w:t>
      </w:r>
      <w:r>
        <w:rPr>
          <w:spacing w:val="-4"/>
        </w:rPr>
        <w:t> </w:t>
      </w:r>
      <w:r>
        <w:rPr/>
        <w:t>about</w:t>
      </w:r>
      <w:r>
        <w:rPr>
          <w:spacing w:val="-1"/>
        </w:rPr>
        <w:t> </w:t>
      </w:r>
      <w:r>
        <w:rPr/>
        <w:t>emergency</w:t>
      </w:r>
      <w:r>
        <w:rPr>
          <w:spacing w:val="-5"/>
        </w:rPr>
        <w:t> </w:t>
      </w:r>
      <w:r>
        <w:rPr/>
        <w:t>contraception</w:t>
      </w:r>
      <w:r>
        <w:rPr>
          <w:spacing w:val="-2"/>
        </w:rPr>
        <w:t> </w:t>
      </w:r>
      <w:r>
        <w:rPr/>
        <w:t>among patients at academic family medicine clinics. </w:t>
      </w:r>
      <w:r>
        <w:rPr>
          <w:i/>
        </w:rPr>
        <w:t>Annals of Family Medicine</w:t>
      </w:r>
      <w:r>
        <w:rPr/>
        <w:t>, </w:t>
      </w:r>
      <w:r>
        <w:rPr>
          <w:i/>
        </w:rPr>
        <w:t>6</w:t>
      </w:r>
      <w:r>
        <w:rPr/>
        <w:t>, S23-S27. Retrieved from: </w:t>
      </w:r>
      <w:hyperlink r:id="rId15">
        <w:r>
          <w:rPr/>
          <w:t>http://www.ncbi.nlm.nih.gov/pubmed/18195304</w:t>
        </w:r>
      </w:hyperlink>
    </w:p>
    <w:p>
      <w:pPr>
        <w:pStyle w:val="BodyText"/>
        <w:ind w:left="839" w:hanging="720"/>
      </w:pPr>
      <w:r>
        <w:rPr/>
        <w:t>Centers</w:t>
      </w:r>
      <w:r>
        <w:rPr>
          <w:spacing w:val="-5"/>
        </w:rPr>
        <w:t> </w:t>
      </w:r>
      <w:r>
        <w:rPr/>
        <w:t>for</w:t>
      </w:r>
      <w:r>
        <w:rPr>
          <w:spacing w:val="-3"/>
        </w:rPr>
        <w:t> </w:t>
      </w:r>
      <w:r>
        <w:rPr/>
        <w:t>Disease</w:t>
      </w:r>
      <w:r>
        <w:rPr>
          <w:spacing w:val="-3"/>
        </w:rPr>
        <w:t> </w:t>
      </w:r>
      <w:r>
        <w:rPr/>
        <w:t>Control</w:t>
      </w:r>
      <w:r>
        <w:rPr>
          <w:spacing w:val="-5"/>
        </w:rPr>
        <w:t> </w:t>
      </w:r>
      <w:r>
        <w:rPr/>
        <w:t>and</w:t>
      </w:r>
      <w:r>
        <w:rPr>
          <w:spacing w:val="-3"/>
        </w:rPr>
        <w:t> </w:t>
      </w:r>
      <w:r>
        <w:rPr/>
        <w:t>Prevention</w:t>
      </w:r>
      <w:r>
        <w:rPr>
          <w:spacing w:val="-3"/>
        </w:rPr>
        <w:t> </w:t>
      </w:r>
      <w:r>
        <w:rPr/>
        <w:t>(CDC)</w:t>
      </w:r>
      <w:r>
        <w:rPr>
          <w:spacing w:val="-5"/>
        </w:rPr>
        <w:t> </w:t>
      </w:r>
      <w:r>
        <w:rPr/>
        <w:t>(2014).</w:t>
      </w:r>
      <w:r>
        <w:rPr>
          <w:spacing w:val="-3"/>
        </w:rPr>
        <w:t> </w:t>
      </w:r>
      <w:r>
        <w:rPr/>
        <w:t>Unintended</w:t>
      </w:r>
      <w:r>
        <w:rPr>
          <w:spacing w:val="-3"/>
        </w:rPr>
        <w:t> </w:t>
      </w:r>
      <w:r>
        <w:rPr/>
        <w:t>pregnancy</w:t>
      </w:r>
      <w:r>
        <w:rPr>
          <w:spacing w:val="-7"/>
        </w:rPr>
        <w:t> </w:t>
      </w:r>
      <w:r>
        <w:rPr/>
        <w:t>prevention.</w:t>
      </w:r>
      <w:r>
        <w:rPr>
          <w:spacing w:val="-3"/>
        </w:rPr>
        <w:t> </w:t>
      </w:r>
      <w:r>
        <w:rPr/>
        <w:t>Retrieved from: </w:t>
      </w:r>
      <w:hyperlink r:id="rId16">
        <w:r>
          <w:rPr/>
          <w:t>http://www.cdc.gov/reproductivehealth/UnintendedPregnancy/index.htm</w:t>
        </w:r>
      </w:hyperlink>
    </w:p>
    <w:p>
      <w:pPr>
        <w:pStyle w:val="BodyText"/>
        <w:ind w:left="839" w:right="77" w:hanging="721"/>
      </w:pPr>
      <w:r>
        <w:rPr/>
        <w:t>Centers</w:t>
      </w:r>
      <w:r>
        <w:rPr>
          <w:spacing w:val="-4"/>
        </w:rPr>
        <w:t> </w:t>
      </w:r>
      <w:r>
        <w:rPr/>
        <w:t>for</w:t>
      </w:r>
      <w:r>
        <w:rPr>
          <w:spacing w:val="-1"/>
        </w:rPr>
        <w:t> </w:t>
      </w:r>
      <w:r>
        <w:rPr/>
        <w:t>Disease</w:t>
      </w:r>
      <w:r>
        <w:rPr>
          <w:spacing w:val="-2"/>
        </w:rPr>
        <w:t> </w:t>
      </w:r>
      <w:r>
        <w:rPr/>
        <w:t>Control</w:t>
      </w:r>
      <w:r>
        <w:rPr>
          <w:spacing w:val="-4"/>
        </w:rPr>
        <w:t> </w:t>
      </w:r>
      <w:r>
        <w:rPr/>
        <w:t>and</w:t>
      </w:r>
      <w:r>
        <w:rPr>
          <w:spacing w:val="-2"/>
        </w:rPr>
        <w:t> </w:t>
      </w:r>
      <w:r>
        <w:rPr/>
        <w:t>Prevention</w:t>
      </w:r>
      <w:r>
        <w:rPr>
          <w:spacing w:val="-2"/>
        </w:rPr>
        <w:t> </w:t>
      </w:r>
      <w:r>
        <w:rPr/>
        <w:t>(CDC)</w:t>
      </w:r>
      <w:r>
        <w:rPr>
          <w:spacing w:val="-4"/>
        </w:rPr>
        <w:t> </w:t>
      </w:r>
      <w:r>
        <w:rPr/>
        <w:t>(2010).</w:t>
      </w:r>
      <w:r>
        <w:rPr>
          <w:spacing w:val="-2"/>
        </w:rPr>
        <w:t> </w:t>
      </w:r>
      <w:r>
        <w:rPr/>
        <w:t>Morbidity</w:t>
      </w:r>
      <w:r>
        <w:rPr>
          <w:spacing w:val="-5"/>
        </w:rPr>
        <w:t> </w:t>
      </w:r>
      <w:r>
        <w:rPr/>
        <w:t>and</w:t>
      </w:r>
      <w:r>
        <w:rPr>
          <w:spacing w:val="-2"/>
        </w:rPr>
        <w:t> </w:t>
      </w:r>
      <w:r>
        <w:rPr/>
        <w:t>Mortality</w:t>
      </w:r>
      <w:r>
        <w:rPr>
          <w:spacing w:val="-5"/>
        </w:rPr>
        <w:t> </w:t>
      </w:r>
      <w:r>
        <w:rPr/>
        <w:t>Weekly</w:t>
      </w:r>
      <w:r>
        <w:rPr>
          <w:spacing w:val="-5"/>
        </w:rPr>
        <w:t> </w:t>
      </w:r>
      <w:r>
        <w:rPr/>
        <w:t>Report (</w:t>
      </w:r>
      <w:r>
        <w:rPr>
          <w:i/>
        </w:rPr>
        <w:t>MMWR</w:t>
      </w:r>
      <w:r>
        <w:rPr/>
        <w:t>). U.S. Medical Eligibility Criteria for Contraceptive Use, 2010. Retrieved from: </w:t>
      </w:r>
      <w:hyperlink r:id="rId17">
        <w:r>
          <w:rPr>
            <w:spacing w:val="-2"/>
          </w:rPr>
          <w:t>http://www.cdc.gov/mmwr/preview/mmwrhtml/rr5904a1.htm?s_cid=rr5904a1_e#tab1</w:t>
        </w:r>
      </w:hyperlink>
    </w:p>
    <w:p>
      <w:pPr>
        <w:pStyle w:val="BodyText"/>
        <w:ind w:left="839" w:right="480" w:hanging="721"/>
      </w:pPr>
      <w:r>
        <w:rPr/>
        <w:t>Ceylan,</w:t>
      </w:r>
      <w:r>
        <w:rPr>
          <w:spacing w:val="-2"/>
        </w:rPr>
        <w:t> </w:t>
      </w:r>
      <w:r>
        <w:rPr/>
        <w:t>A.,</w:t>
      </w:r>
      <w:r>
        <w:rPr>
          <w:spacing w:val="-2"/>
        </w:rPr>
        <w:t> </w:t>
      </w:r>
      <w:r>
        <w:rPr/>
        <w:t>Ertem,</w:t>
      </w:r>
      <w:r>
        <w:rPr>
          <w:spacing w:val="-2"/>
        </w:rPr>
        <w:t> </w:t>
      </w:r>
      <w:r>
        <w:rPr/>
        <w:t>M.,</w:t>
      </w:r>
      <w:r>
        <w:rPr>
          <w:spacing w:val="-2"/>
        </w:rPr>
        <w:t> </w:t>
      </w:r>
      <w:r>
        <w:rPr/>
        <w:t>Saka,</w:t>
      </w:r>
      <w:r>
        <w:rPr>
          <w:spacing w:val="-2"/>
        </w:rPr>
        <w:t> </w:t>
      </w:r>
      <w:r>
        <w:rPr/>
        <w:t>G.,</w:t>
      </w:r>
      <w:r>
        <w:rPr>
          <w:spacing w:val="-2"/>
        </w:rPr>
        <w:t> </w:t>
      </w:r>
      <w:r>
        <w:rPr/>
        <w:t>&amp;</w:t>
      </w:r>
      <w:r>
        <w:rPr>
          <w:spacing w:val="-4"/>
        </w:rPr>
        <w:t> </w:t>
      </w:r>
      <w:r>
        <w:rPr/>
        <w:t>Akdeniz,</w:t>
      </w:r>
      <w:r>
        <w:rPr>
          <w:spacing w:val="-2"/>
        </w:rPr>
        <w:t> </w:t>
      </w:r>
      <w:r>
        <w:rPr/>
        <w:t>N.</w:t>
      </w:r>
      <w:r>
        <w:rPr>
          <w:spacing w:val="-2"/>
        </w:rPr>
        <w:t> </w:t>
      </w:r>
      <w:r>
        <w:rPr/>
        <w:t>(2009).</w:t>
      </w:r>
      <w:r>
        <w:rPr>
          <w:spacing w:val="-2"/>
        </w:rPr>
        <w:t> </w:t>
      </w:r>
      <w:r>
        <w:rPr/>
        <w:t>Post</w:t>
      </w:r>
      <w:r>
        <w:rPr>
          <w:spacing w:val="-1"/>
        </w:rPr>
        <w:t> </w:t>
      </w:r>
      <w:r>
        <w:rPr/>
        <w:t>abortion</w:t>
      </w:r>
      <w:r>
        <w:rPr>
          <w:spacing w:val="-5"/>
        </w:rPr>
        <w:t> </w:t>
      </w:r>
      <w:r>
        <w:rPr/>
        <w:t>family</w:t>
      </w:r>
      <w:r>
        <w:rPr>
          <w:spacing w:val="-5"/>
        </w:rPr>
        <w:t> </w:t>
      </w:r>
      <w:r>
        <w:rPr/>
        <w:t>planning</w:t>
      </w:r>
      <w:r>
        <w:rPr>
          <w:spacing w:val="-5"/>
        </w:rPr>
        <w:t> </w:t>
      </w:r>
      <w:r>
        <w:rPr/>
        <w:t>counseling</w:t>
      </w:r>
      <w:r>
        <w:rPr>
          <w:spacing w:val="-5"/>
        </w:rPr>
        <w:t> </w:t>
      </w:r>
      <w:r>
        <w:rPr/>
        <w:t>as</w:t>
      </w:r>
      <w:r>
        <w:rPr>
          <w:spacing w:val="-2"/>
        </w:rPr>
        <w:t> </w:t>
      </w:r>
      <w:r>
        <w:rPr/>
        <w:t>a tool to increase contraceptive use. BMC Public Health, 9, 20. Retrieved from: </w:t>
      </w:r>
      <w:hyperlink r:id="rId18">
        <w:r>
          <w:rPr>
            <w:spacing w:val="-2"/>
          </w:rPr>
          <w:t>www.biomedcentral.com/1471-2458/9/20</w:t>
        </w:r>
      </w:hyperlink>
    </w:p>
    <w:p>
      <w:pPr>
        <w:spacing w:before="0"/>
        <w:ind w:left="839" w:right="0" w:hanging="721"/>
        <w:jc w:val="left"/>
        <w:rPr>
          <w:sz w:val="22"/>
        </w:rPr>
      </w:pPr>
      <w:r>
        <w:rPr>
          <w:sz w:val="22"/>
        </w:rPr>
        <w:t>Daniels, K., Jones, J. &amp; Abma, J., (2013). </w:t>
      </w:r>
      <w:r>
        <w:rPr>
          <w:i/>
          <w:sz w:val="22"/>
        </w:rPr>
        <w:t>Use of emergency contraception among women aged 15–44:</w:t>
      </w:r>
      <w:r>
        <w:rPr>
          <w:i/>
          <w:sz w:val="22"/>
        </w:rPr>
        <w:t> United</w:t>
      </w:r>
      <w:r>
        <w:rPr>
          <w:i/>
          <w:spacing w:val="-5"/>
          <w:sz w:val="22"/>
        </w:rPr>
        <w:t> </w:t>
      </w:r>
      <w:r>
        <w:rPr>
          <w:i/>
          <w:sz w:val="22"/>
        </w:rPr>
        <w:t>States,</w:t>
      </w:r>
      <w:r>
        <w:rPr>
          <w:i/>
          <w:spacing w:val="-2"/>
          <w:sz w:val="22"/>
        </w:rPr>
        <w:t> </w:t>
      </w:r>
      <w:r>
        <w:rPr>
          <w:i/>
          <w:sz w:val="22"/>
        </w:rPr>
        <w:t>2006–2010.</w:t>
      </w:r>
      <w:r>
        <w:rPr>
          <w:i/>
          <w:spacing w:val="-5"/>
          <w:sz w:val="22"/>
        </w:rPr>
        <w:t> </w:t>
      </w:r>
      <w:r>
        <w:rPr>
          <w:sz w:val="22"/>
        </w:rPr>
        <w:t>NCHS</w:t>
      </w:r>
      <w:r>
        <w:rPr>
          <w:spacing w:val="-3"/>
          <w:sz w:val="22"/>
        </w:rPr>
        <w:t> </w:t>
      </w:r>
      <w:r>
        <w:rPr>
          <w:sz w:val="22"/>
        </w:rPr>
        <w:t>data</w:t>
      </w:r>
      <w:r>
        <w:rPr>
          <w:spacing w:val="-2"/>
          <w:sz w:val="22"/>
        </w:rPr>
        <w:t> </w:t>
      </w:r>
      <w:r>
        <w:rPr>
          <w:sz w:val="22"/>
        </w:rPr>
        <w:t>brief,</w:t>
      </w:r>
      <w:r>
        <w:rPr>
          <w:spacing w:val="-2"/>
          <w:sz w:val="22"/>
        </w:rPr>
        <w:t> </w:t>
      </w:r>
      <w:r>
        <w:rPr>
          <w:sz w:val="22"/>
        </w:rPr>
        <w:t>no</w:t>
      </w:r>
      <w:r>
        <w:rPr>
          <w:spacing w:val="-5"/>
          <w:sz w:val="22"/>
        </w:rPr>
        <w:t> </w:t>
      </w:r>
      <w:r>
        <w:rPr>
          <w:sz w:val="22"/>
        </w:rPr>
        <w:t>112.</w:t>
      </w:r>
      <w:r>
        <w:rPr>
          <w:spacing w:val="-5"/>
          <w:sz w:val="22"/>
        </w:rPr>
        <w:t> </w:t>
      </w:r>
      <w:r>
        <w:rPr>
          <w:sz w:val="22"/>
        </w:rPr>
        <w:t>Hyattsville,</w:t>
      </w:r>
      <w:r>
        <w:rPr>
          <w:spacing w:val="-2"/>
          <w:sz w:val="22"/>
        </w:rPr>
        <w:t> </w:t>
      </w:r>
      <w:r>
        <w:rPr>
          <w:sz w:val="22"/>
        </w:rPr>
        <w:t>MD:</w:t>
      </w:r>
      <w:r>
        <w:rPr>
          <w:spacing w:val="-1"/>
          <w:sz w:val="22"/>
        </w:rPr>
        <w:t> </w:t>
      </w:r>
      <w:r>
        <w:rPr>
          <w:sz w:val="22"/>
        </w:rPr>
        <w:t>National</w:t>
      </w:r>
      <w:r>
        <w:rPr>
          <w:spacing w:val="-4"/>
          <w:sz w:val="22"/>
        </w:rPr>
        <w:t> </w:t>
      </w:r>
      <w:r>
        <w:rPr>
          <w:sz w:val="22"/>
        </w:rPr>
        <w:t>Center</w:t>
      </w:r>
      <w:r>
        <w:rPr>
          <w:spacing w:val="-1"/>
          <w:sz w:val="22"/>
        </w:rPr>
        <w:t> </w:t>
      </w:r>
      <w:r>
        <w:rPr>
          <w:sz w:val="22"/>
        </w:rPr>
        <w:t>for</w:t>
      </w:r>
      <w:r>
        <w:rPr>
          <w:spacing w:val="-1"/>
          <w:sz w:val="22"/>
        </w:rPr>
        <w:t> </w:t>
      </w:r>
      <w:r>
        <w:rPr>
          <w:sz w:val="22"/>
        </w:rPr>
        <w:t>Health Statistics. 2013. Retrieved from: </w:t>
      </w:r>
      <w:hyperlink r:id="rId19">
        <w:r>
          <w:rPr>
            <w:sz w:val="22"/>
          </w:rPr>
          <w:t>http://www.cdc.gov/nchs/data/databriefs/db112.pdf</w:t>
        </w:r>
      </w:hyperlink>
    </w:p>
    <w:p>
      <w:pPr>
        <w:spacing w:after="0"/>
        <w:jc w:val="left"/>
        <w:rPr>
          <w:sz w:val="22"/>
        </w:rPr>
        <w:sectPr>
          <w:type w:val="continuous"/>
          <w:pgSz w:w="12240" w:h="15840"/>
          <w:pgMar w:header="699" w:footer="794" w:top="1340" w:bottom="980" w:left="1320" w:right="1320"/>
        </w:sectPr>
      </w:pPr>
    </w:p>
    <w:p>
      <w:pPr>
        <w:pStyle w:val="BodyText"/>
        <w:spacing w:before="84"/>
        <w:ind w:left="840" w:right="77" w:hanging="721"/>
      </w:pPr>
      <w:r>
        <w:rPr/>
        <w:t>De La Rochebrochard, E. &amp; Joshi, H. (2013). Children born after unplanned pregnancies and cognitive development</w:t>
      </w:r>
      <w:r>
        <w:rPr>
          <w:spacing w:val="-2"/>
        </w:rPr>
        <w:t> </w:t>
      </w:r>
      <w:r>
        <w:rPr/>
        <w:t>at</w:t>
      </w:r>
      <w:r>
        <w:rPr>
          <w:spacing w:val="-5"/>
        </w:rPr>
        <w:t> </w:t>
      </w:r>
      <w:r>
        <w:rPr/>
        <w:t>3</w:t>
      </w:r>
      <w:r>
        <w:rPr>
          <w:spacing w:val="-3"/>
        </w:rPr>
        <w:t> </w:t>
      </w:r>
      <w:r>
        <w:rPr/>
        <w:t>years:</w:t>
      </w:r>
      <w:r>
        <w:rPr>
          <w:spacing w:val="-2"/>
        </w:rPr>
        <w:t> </w:t>
      </w:r>
      <w:r>
        <w:rPr/>
        <w:t>Social</w:t>
      </w:r>
      <w:r>
        <w:rPr>
          <w:spacing w:val="-2"/>
        </w:rPr>
        <w:t> </w:t>
      </w:r>
      <w:r>
        <w:rPr/>
        <w:t>differentials</w:t>
      </w:r>
      <w:r>
        <w:rPr>
          <w:spacing w:val="-3"/>
        </w:rPr>
        <w:t> </w:t>
      </w:r>
      <w:r>
        <w:rPr/>
        <w:t>in</w:t>
      </w:r>
      <w:r>
        <w:rPr>
          <w:spacing w:val="-3"/>
        </w:rPr>
        <w:t> </w:t>
      </w:r>
      <w:r>
        <w:rPr/>
        <w:t>the</w:t>
      </w:r>
      <w:r>
        <w:rPr>
          <w:spacing w:val="-3"/>
        </w:rPr>
        <w:t> </w:t>
      </w:r>
      <w:r>
        <w:rPr/>
        <w:t>United</w:t>
      </w:r>
      <w:r>
        <w:rPr>
          <w:spacing w:val="-3"/>
        </w:rPr>
        <w:t> </w:t>
      </w:r>
      <w:r>
        <w:rPr/>
        <w:t>Kingdom</w:t>
      </w:r>
      <w:r>
        <w:rPr>
          <w:spacing w:val="-6"/>
        </w:rPr>
        <w:t> </w:t>
      </w:r>
      <w:r>
        <w:rPr/>
        <w:t>Millennium</w:t>
      </w:r>
      <w:r>
        <w:rPr>
          <w:spacing w:val="-6"/>
        </w:rPr>
        <w:t> </w:t>
      </w:r>
      <w:r>
        <w:rPr/>
        <w:t>Cohort.</w:t>
      </w:r>
      <w:r>
        <w:rPr>
          <w:spacing w:val="-3"/>
        </w:rPr>
        <w:t> </w:t>
      </w:r>
      <w:r>
        <w:rPr>
          <w:i/>
        </w:rPr>
        <w:t>American</w:t>
      </w:r>
      <w:r>
        <w:rPr>
          <w:i/>
        </w:rPr>
        <w:t> Journal of Epidemiology</w:t>
      </w:r>
      <w:r>
        <w:rPr/>
        <w:t>, </w:t>
      </w:r>
      <w:r>
        <w:rPr>
          <w:i/>
        </w:rPr>
        <w:t>178</w:t>
      </w:r>
      <w:r>
        <w:rPr/>
        <w:t>(6), 910-920. Retrieved from: </w:t>
      </w:r>
      <w:hyperlink r:id="rId20">
        <w:r>
          <w:rPr>
            <w:spacing w:val="-2"/>
          </w:rPr>
          <w:t>http://www.ncbi.nlm.nih.gov/pmc/articles/PMC3775543/</w:t>
        </w:r>
      </w:hyperlink>
    </w:p>
    <w:p>
      <w:pPr>
        <w:pStyle w:val="BodyText"/>
        <w:spacing w:before="1"/>
        <w:ind w:left="840" w:right="243" w:hanging="721"/>
      </w:pPr>
      <w:r>
        <w:rPr/>
        <w:t>Ellerston,</w:t>
      </w:r>
      <w:r>
        <w:rPr>
          <w:spacing w:val="-3"/>
        </w:rPr>
        <w:t> </w:t>
      </w:r>
      <w:r>
        <w:rPr/>
        <w:t>C.</w:t>
      </w:r>
      <w:r>
        <w:rPr>
          <w:spacing w:val="-6"/>
        </w:rPr>
        <w:t> </w:t>
      </w:r>
      <w:r>
        <w:rPr/>
        <w:t>(1996).</w:t>
      </w:r>
      <w:r>
        <w:rPr>
          <w:spacing w:val="-3"/>
        </w:rPr>
        <w:t> </w:t>
      </w:r>
      <w:r>
        <w:rPr/>
        <w:t>History</w:t>
      </w:r>
      <w:r>
        <w:rPr>
          <w:spacing w:val="-6"/>
        </w:rPr>
        <w:t> </w:t>
      </w:r>
      <w:r>
        <w:rPr/>
        <w:t>and</w:t>
      </w:r>
      <w:r>
        <w:rPr>
          <w:spacing w:val="-3"/>
        </w:rPr>
        <w:t> </w:t>
      </w:r>
      <w:r>
        <w:rPr/>
        <w:t>efficacy</w:t>
      </w:r>
      <w:r>
        <w:rPr>
          <w:spacing w:val="-6"/>
        </w:rPr>
        <w:t> </w:t>
      </w:r>
      <w:r>
        <w:rPr/>
        <w:t>of</w:t>
      </w:r>
      <w:r>
        <w:rPr>
          <w:spacing w:val="-2"/>
        </w:rPr>
        <w:t> </w:t>
      </w:r>
      <w:r>
        <w:rPr/>
        <w:t>emergency</w:t>
      </w:r>
      <w:r>
        <w:rPr>
          <w:spacing w:val="-6"/>
        </w:rPr>
        <w:t> </w:t>
      </w:r>
      <w:r>
        <w:rPr/>
        <w:t>contraception:</w:t>
      </w:r>
      <w:r>
        <w:rPr>
          <w:spacing w:val="-2"/>
        </w:rPr>
        <w:t> </w:t>
      </w:r>
      <w:r>
        <w:rPr/>
        <w:t>Beyond</w:t>
      </w:r>
      <w:r>
        <w:rPr>
          <w:spacing w:val="-3"/>
        </w:rPr>
        <w:t> </w:t>
      </w:r>
      <w:r>
        <w:rPr/>
        <w:t>Coca-Cola.</w:t>
      </w:r>
      <w:r>
        <w:rPr>
          <w:spacing w:val="-3"/>
        </w:rPr>
        <w:t> </w:t>
      </w:r>
      <w:r>
        <w:rPr>
          <w:i/>
        </w:rPr>
        <w:t>Family</w:t>
      </w:r>
      <w:r>
        <w:rPr>
          <w:i/>
        </w:rPr>
        <w:t> Planning Perspectives, 28</w:t>
      </w:r>
      <w:r>
        <w:rPr/>
        <w:t>(2), 44-48.</w:t>
      </w:r>
      <w:r>
        <w:rPr>
          <w:spacing w:val="40"/>
        </w:rPr>
        <w:t> </w:t>
      </w:r>
      <w:r>
        <w:rPr/>
        <w:t>Retrieved from: </w:t>
      </w:r>
      <w:r>
        <w:rPr>
          <w:spacing w:val="-2"/>
        </w:rPr>
        <w:t>https://guttmacher.org/pubs/journals/2804496.html</w:t>
      </w:r>
    </w:p>
    <w:p>
      <w:pPr>
        <w:pStyle w:val="BodyText"/>
        <w:ind w:left="840" w:right="243" w:hanging="721"/>
      </w:pPr>
      <w:r>
        <w:rPr/>
        <w:t>Finer,</w:t>
      </w:r>
      <w:r>
        <w:rPr>
          <w:spacing w:val="-2"/>
        </w:rPr>
        <w:t> </w:t>
      </w:r>
      <w:r>
        <w:rPr/>
        <w:t>L.</w:t>
      </w:r>
      <w:r>
        <w:rPr>
          <w:spacing w:val="-2"/>
        </w:rPr>
        <w:t> </w:t>
      </w:r>
      <w:r>
        <w:rPr/>
        <w:t>&amp;</w:t>
      </w:r>
      <w:r>
        <w:rPr>
          <w:spacing w:val="-4"/>
        </w:rPr>
        <w:t> </w:t>
      </w:r>
      <w:r>
        <w:rPr/>
        <w:t>Zolna,</w:t>
      </w:r>
      <w:r>
        <w:rPr>
          <w:spacing w:val="-2"/>
        </w:rPr>
        <w:t> </w:t>
      </w:r>
      <w:r>
        <w:rPr/>
        <w:t>M.,</w:t>
      </w:r>
      <w:r>
        <w:rPr>
          <w:spacing w:val="-2"/>
        </w:rPr>
        <w:t> </w:t>
      </w:r>
      <w:r>
        <w:rPr/>
        <w:t>(2011).</w:t>
      </w:r>
      <w:r>
        <w:rPr>
          <w:spacing w:val="-2"/>
        </w:rPr>
        <w:t> </w:t>
      </w:r>
      <w:r>
        <w:rPr/>
        <w:t>Unintended</w:t>
      </w:r>
      <w:r>
        <w:rPr>
          <w:spacing w:val="-2"/>
        </w:rPr>
        <w:t> </w:t>
      </w:r>
      <w:r>
        <w:rPr/>
        <w:t>pregnancy</w:t>
      </w:r>
      <w:r>
        <w:rPr>
          <w:spacing w:val="-5"/>
        </w:rPr>
        <w:t> </w:t>
      </w:r>
      <w:r>
        <w:rPr/>
        <w:t>in</w:t>
      </w:r>
      <w:r>
        <w:rPr>
          <w:spacing w:val="-2"/>
        </w:rPr>
        <w:t> </w:t>
      </w:r>
      <w:r>
        <w:rPr/>
        <w:t>the</w:t>
      </w:r>
      <w:r>
        <w:rPr>
          <w:spacing w:val="-2"/>
        </w:rPr>
        <w:t> </w:t>
      </w:r>
      <w:r>
        <w:rPr/>
        <w:t>United</w:t>
      </w:r>
      <w:r>
        <w:rPr>
          <w:spacing w:val="-2"/>
        </w:rPr>
        <w:t> </w:t>
      </w:r>
      <w:r>
        <w:rPr/>
        <w:t>States:</w:t>
      </w:r>
      <w:r>
        <w:rPr>
          <w:spacing w:val="-4"/>
        </w:rPr>
        <w:t> </w:t>
      </w:r>
      <w:r>
        <w:rPr/>
        <w:t>Incidence</w:t>
      </w:r>
      <w:r>
        <w:rPr>
          <w:spacing w:val="-2"/>
        </w:rPr>
        <w:t> </w:t>
      </w:r>
      <w:r>
        <w:rPr/>
        <w:t>and</w:t>
      </w:r>
      <w:r>
        <w:rPr>
          <w:spacing w:val="-5"/>
        </w:rPr>
        <w:t> </w:t>
      </w:r>
      <w:r>
        <w:rPr/>
        <w:t>disparities, 2006. </w:t>
      </w:r>
      <w:r>
        <w:rPr>
          <w:i/>
        </w:rPr>
        <w:t>Contraception, 84</w:t>
      </w:r>
      <w:r>
        <w:rPr/>
        <w:t>(5): 478–485. Retrieved from: </w:t>
      </w:r>
      <w:hyperlink r:id="rId21">
        <w:r>
          <w:rPr>
            <w:spacing w:val="-2"/>
          </w:rPr>
          <w:t>http://www.ncbi.nlm.nih.gov/pmc/articles/PMC3338192/</w:t>
        </w:r>
      </w:hyperlink>
    </w:p>
    <w:p>
      <w:pPr>
        <w:pStyle w:val="BodyText"/>
        <w:ind w:left="840" w:right="77" w:hanging="721"/>
      </w:pPr>
      <w:r>
        <w:rPr/>
        <w:t>Finer,</w:t>
      </w:r>
      <w:r>
        <w:rPr>
          <w:spacing w:val="-2"/>
        </w:rPr>
        <w:t> </w:t>
      </w:r>
      <w:r>
        <w:rPr/>
        <w:t>L.</w:t>
      </w:r>
      <w:r>
        <w:rPr>
          <w:spacing w:val="-2"/>
        </w:rPr>
        <w:t> </w:t>
      </w:r>
      <w:r>
        <w:rPr/>
        <w:t>&amp;</w:t>
      </w:r>
      <w:r>
        <w:rPr>
          <w:spacing w:val="-4"/>
        </w:rPr>
        <w:t> </w:t>
      </w:r>
      <w:r>
        <w:rPr/>
        <w:t>Zolna,</w:t>
      </w:r>
      <w:r>
        <w:rPr>
          <w:spacing w:val="-2"/>
        </w:rPr>
        <w:t> </w:t>
      </w:r>
      <w:r>
        <w:rPr/>
        <w:t>M.,</w:t>
      </w:r>
      <w:r>
        <w:rPr>
          <w:spacing w:val="-2"/>
        </w:rPr>
        <w:t> </w:t>
      </w:r>
      <w:r>
        <w:rPr/>
        <w:t>(2014).</w:t>
      </w:r>
      <w:r>
        <w:rPr>
          <w:spacing w:val="-2"/>
        </w:rPr>
        <w:t> </w:t>
      </w:r>
      <w:r>
        <w:rPr/>
        <w:t>Shifts</w:t>
      </w:r>
      <w:r>
        <w:rPr>
          <w:spacing w:val="-2"/>
        </w:rPr>
        <w:t> </w:t>
      </w:r>
      <w:r>
        <w:rPr/>
        <w:t>in</w:t>
      </w:r>
      <w:r>
        <w:rPr>
          <w:spacing w:val="-2"/>
        </w:rPr>
        <w:t> </w:t>
      </w:r>
      <w:r>
        <w:rPr/>
        <w:t>intended</w:t>
      </w:r>
      <w:r>
        <w:rPr>
          <w:spacing w:val="-2"/>
        </w:rPr>
        <w:t> </w:t>
      </w:r>
      <w:r>
        <w:rPr/>
        <w:t>and</w:t>
      </w:r>
      <w:r>
        <w:rPr>
          <w:spacing w:val="-2"/>
        </w:rPr>
        <w:t> </w:t>
      </w:r>
      <w:r>
        <w:rPr/>
        <w:t>unintended</w:t>
      </w:r>
      <w:r>
        <w:rPr>
          <w:spacing w:val="-5"/>
        </w:rPr>
        <w:t> </w:t>
      </w:r>
      <w:r>
        <w:rPr/>
        <w:t>pregnancies</w:t>
      </w:r>
      <w:r>
        <w:rPr>
          <w:spacing w:val="-2"/>
        </w:rPr>
        <w:t> </w:t>
      </w:r>
      <w:r>
        <w:rPr/>
        <w:t>in</w:t>
      </w:r>
      <w:r>
        <w:rPr>
          <w:spacing w:val="-2"/>
        </w:rPr>
        <w:t> </w:t>
      </w:r>
      <w:r>
        <w:rPr/>
        <w:t>the</w:t>
      </w:r>
      <w:r>
        <w:rPr>
          <w:spacing w:val="-2"/>
        </w:rPr>
        <w:t> </w:t>
      </w:r>
      <w:r>
        <w:rPr/>
        <w:t>United</w:t>
      </w:r>
      <w:r>
        <w:rPr>
          <w:spacing w:val="-2"/>
        </w:rPr>
        <w:t> </w:t>
      </w:r>
      <w:r>
        <w:rPr/>
        <w:t>States,</w:t>
      </w:r>
      <w:r>
        <w:rPr>
          <w:spacing w:val="-2"/>
        </w:rPr>
        <w:t> </w:t>
      </w:r>
      <w:r>
        <w:rPr/>
        <w:t>2001- 2008. </w:t>
      </w:r>
      <w:r>
        <w:rPr>
          <w:i/>
        </w:rPr>
        <w:t>American Journal of Public Health</w:t>
      </w:r>
      <w:r>
        <w:rPr/>
        <w:t>, </w:t>
      </w:r>
      <w:r>
        <w:rPr>
          <w:i/>
        </w:rPr>
        <w:t>104</w:t>
      </w:r>
      <w:r>
        <w:rPr/>
        <w:t>, S43-S48. Retrieved from: </w:t>
      </w:r>
      <w:hyperlink r:id="rId22">
        <w:r>
          <w:rPr>
            <w:spacing w:val="-2"/>
          </w:rPr>
          <w:t>http://www.ncbi.nlm.nih.gov/pubmed/24354819</w:t>
        </w:r>
      </w:hyperlink>
    </w:p>
    <w:p>
      <w:pPr>
        <w:pStyle w:val="BodyText"/>
        <w:ind w:left="840" w:right="264" w:hanging="721"/>
        <w:jc w:val="both"/>
      </w:pPr>
      <w:r>
        <w:rPr/>
        <w:t>Food</w:t>
      </w:r>
      <w:r>
        <w:rPr>
          <w:spacing w:val="-3"/>
        </w:rPr>
        <w:t> </w:t>
      </w:r>
      <w:r>
        <w:rPr/>
        <w:t>and</w:t>
      </w:r>
      <w:r>
        <w:rPr>
          <w:spacing w:val="-3"/>
        </w:rPr>
        <w:t> </w:t>
      </w:r>
      <w:r>
        <w:rPr/>
        <w:t>Drug</w:t>
      </w:r>
      <w:r>
        <w:rPr>
          <w:spacing w:val="-6"/>
        </w:rPr>
        <w:t> </w:t>
      </w:r>
      <w:r>
        <w:rPr/>
        <w:t>Administration</w:t>
      </w:r>
      <w:r>
        <w:rPr>
          <w:spacing w:val="-3"/>
        </w:rPr>
        <w:t> </w:t>
      </w:r>
      <w:r>
        <w:rPr/>
        <w:t>(2013).</w:t>
      </w:r>
      <w:r>
        <w:rPr>
          <w:spacing w:val="-3"/>
        </w:rPr>
        <w:t> </w:t>
      </w:r>
      <w:r>
        <w:rPr/>
        <w:t>FDA</w:t>
      </w:r>
      <w:r>
        <w:rPr>
          <w:spacing w:val="-4"/>
        </w:rPr>
        <w:t> </w:t>
      </w:r>
      <w:r>
        <w:rPr/>
        <w:t>approves</w:t>
      </w:r>
      <w:r>
        <w:rPr>
          <w:spacing w:val="-5"/>
        </w:rPr>
        <w:t> </w:t>
      </w:r>
      <w:r>
        <w:rPr/>
        <w:t>Plan</w:t>
      </w:r>
      <w:r>
        <w:rPr>
          <w:spacing w:val="-3"/>
        </w:rPr>
        <w:t> </w:t>
      </w:r>
      <w:r>
        <w:rPr/>
        <w:t>B</w:t>
      </w:r>
      <w:r>
        <w:rPr>
          <w:spacing w:val="-4"/>
        </w:rPr>
        <w:t> </w:t>
      </w:r>
      <w:r>
        <w:rPr/>
        <w:t>One-Step</w:t>
      </w:r>
      <w:r>
        <w:rPr>
          <w:spacing w:val="-3"/>
        </w:rPr>
        <w:t> </w:t>
      </w:r>
      <w:r>
        <w:rPr/>
        <w:t>emergency</w:t>
      </w:r>
      <w:r>
        <w:rPr>
          <w:spacing w:val="-6"/>
        </w:rPr>
        <w:t> </w:t>
      </w:r>
      <w:r>
        <w:rPr/>
        <w:t>contraceptive</w:t>
      </w:r>
      <w:r>
        <w:rPr>
          <w:spacing w:val="-3"/>
        </w:rPr>
        <w:t> </w:t>
      </w:r>
      <w:r>
        <w:rPr/>
        <w:t>for</w:t>
      </w:r>
      <w:r>
        <w:rPr>
          <w:spacing w:val="-2"/>
        </w:rPr>
        <w:t> </w:t>
      </w:r>
      <w:r>
        <w:rPr/>
        <w:t>use without a prescription</w:t>
      </w:r>
      <w:r>
        <w:rPr>
          <w:spacing w:val="-1"/>
        </w:rPr>
        <w:t> </w:t>
      </w:r>
      <w:r>
        <w:rPr/>
        <w:t>for all women of childbearing</w:t>
      </w:r>
      <w:r>
        <w:rPr>
          <w:spacing w:val="-1"/>
        </w:rPr>
        <w:t> </w:t>
      </w:r>
      <w:r>
        <w:rPr/>
        <w:t>potential.</w:t>
      </w:r>
      <w:r>
        <w:rPr>
          <w:spacing w:val="-1"/>
        </w:rPr>
        <w:t> </w:t>
      </w:r>
      <w:r>
        <w:rPr/>
        <w:t>(2013,</w:t>
      </w:r>
      <w:r>
        <w:rPr>
          <w:spacing w:val="-1"/>
        </w:rPr>
        <w:t> </w:t>
      </w:r>
      <w:r>
        <w:rPr/>
        <w:t>June 20). Retrieved</w:t>
      </w:r>
      <w:r>
        <w:rPr>
          <w:spacing w:val="-1"/>
        </w:rPr>
        <w:t> </w:t>
      </w:r>
      <w:r>
        <w:rPr/>
        <w:t>from: </w:t>
      </w:r>
      <w:hyperlink r:id="rId23">
        <w:r>
          <w:rPr>
            <w:spacing w:val="-2"/>
          </w:rPr>
          <w:t>http://www.fda.gov/newsevents/newsroom/pressannouncements/ucm358082.htm</w:t>
        </w:r>
      </w:hyperlink>
    </w:p>
    <w:p>
      <w:pPr>
        <w:pStyle w:val="BodyText"/>
        <w:ind w:left="840" w:right="528" w:hanging="721"/>
        <w:jc w:val="both"/>
      </w:pPr>
      <w:r>
        <w:rPr/>
        <w:t>Foster, D., Ralph, L., Arons, A., Brindis, C. &amp;</w:t>
      </w:r>
      <w:r>
        <w:rPr>
          <w:spacing w:val="-2"/>
        </w:rPr>
        <w:t> </w:t>
      </w:r>
      <w:r>
        <w:rPr/>
        <w:t>Harper,</w:t>
      </w:r>
      <w:r>
        <w:rPr>
          <w:spacing w:val="-3"/>
        </w:rPr>
        <w:t> </w:t>
      </w:r>
      <w:r>
        <w:rPr/>
        <w:t>C. (2006).</w:t>
      </w:r>
      <w:r>
        <w:rPr>
          <w:spacing w:val="-3"/>
        </w:rPr>
        <w:t> </w:t>
      </w:r>
      <w:r>
        <w:rPr/>
        <w:t>Trends</w:t>
      </w:r>
      <w:r>
        <w:rPr>
          <w:spacing w:val="-2"/>
        </w:rPr>
        <w:t> </w:t>
      </w:r>
      <w:r>
        <w:rPr/>
        <w:t>in knowledge of emergency contraception</w:t>
      </w:r>
      <w:r>
        <w:rPr>
          <w:spacing w:val="-6"/>
        </w:rPr>
        <w:t> </w:t>
      </w:r>
      <w:r>
        <w:rPr/>
        <w:t>among</w:t>
      </w:r>
      <w:r>
        <w:rPr>
          <w:spacing w:val="-6"/>
        </w:rPr>
        <w:t> </w:t>
      </w:r>
      <w:r>
        <w:rPr/>
        <w:t>women</w:t>
      </w:r>
      <w:r>
        <w:rPr>
          <w:spacing w:val="-3"/>
        </w:rPr>
        <w:t> </w:t>
      </w:r>
      <w:r>
        <w:rPr/>
        <w:t>in</w:t>
      </w:r>
      <w:r>
        <w:rPr>
          <w:spacing w:val="-3"/>
        </w:rPr>
        <w:t> </w:t>
      </w:r>
      <w:r>
        <w:rPr/>
        <w:t>California,</w:t>
      </w:r>
      <w:r>
        <w:rPr>
          <w:spacing w:val="-6"/>
        </w:rPr>
        <w:t> </w:t>
      </w:r>
      <w:r>
        <w:rPr/>
        <w:t>1999-2004.</w:t>
      </w:r>
      <w:r>
        <w:rPr>
          <w:spacing w:val="-3"/>
        </w:rPr>
        <w:t> </w:t>
      </w:r>
      <w:r>
        <w:rPr>
          <w:i/>
        </w:rPr>
        <w:t>Women’s</w:t>
      </w:r>
      <w:r>
        <w:rPr>
          <w:i/>
          <w:spacing w:val="-3"/>
        </w:rPr>
        <w:t> </w:t>
      </w:r>
      <w:r>
        <w:rPr>
          <w:i/>
        </w:rPr>
        <w:t>Health</w:t>
      </w:r>
      <w:r>
        <w:rPr>
          <w:i/>
          <w:spacing w:val="-3"/>
        </w:rPr>
        <w:t> </w:t>
      </w:r>
      <w:r>
        <w:rPr>
          <w:i/>
        </w:rPr>
        <w:t>Issues,</w:t>
      </w:r>
      <w:r>
        <w:rPr>
          <w:i/>
          <w:spacing w:val="-3"/>
        </w:rPr>
        <w:t> </w:t>
      </w:r>
      <w:r>
        <w:rPr>
          <w:i/>
        </w:rPr>
        <w:t>17</w:t>
      </w:r>
      <w:r>
        <w:rPr/>
        <w:t>(1),</w:t>
      </w:r>
      <w:r>
        <w:rPr>
          <w:spacing w:val="-3"/>
        </w:rPr>
        <w:t> </w:t>
      </w:r>
      <w:r>
        <w:rPr/>
        <w:t>22-28. Retrieved from: </w:t>
      </w:r>
      <w:hyperlink r:id="rId24">
        <w:r>
          <w:rPr/>
          <w:t>http://www.ncbi.nlm.nih.gov/pubmed/17321944</w:t>
        </w:r>
      </w:hyperlink>
    </w:p>
    <w:p>
      <w:pPr>
        <w:spacing w:before="0"/>
        <w:ind w:left="839" w:right="243" w:hanging="720"/>
        <w:jc w:val="left"/>
        <w:rPr>
          <w:sz w:val="22"/>
        </w:rPr>
      </w:pPr>
      <w:r>
        <w:rPr>
          <w:sz w:val="22"/>
        </w:rPr>
        <w:t>Hickey, M. (2009). Female college students’ knowledge, perceptions and use of emergency contraception.</w:t>
      </w:r>
      <w:r>
        <w:rPr>
          <w:spacing w:val="-7"/>
          <w:sz w:val="22"/>
        </w:rPr>
        <w:t> </w:t>
      </w:r>
      <w:r>
        <w:rPr>
          <w:i/>
          <w:sz w:val="22"/>
        </w:rPr>
        <w:t>Journal</w:t>
      </w:r>
      <w:r>
        <w:rPr>
          <w:i/>
          <w:spacing w:val="-3"/>
          <w:sz w:val="22"/>
        </w:rPr>
        <w:t> </w:t>
      </w:r>
      <w:r>
        <w:rPr>
          <w:i/>
          <w:sz w:val="22"/>
        </w:rPr>
        <w:t>of</w:t>
      </w:r>
      <w:r>
        <w:rPr>
          <w:i/>
          <w:spacing w:val="-3"/>
          <w:sz w:val="22"/>
        </w:rPr>
        <w:t> </w:t>
      </w:r>
      <w:r>
        <w:rPr>
          <w:i/>
          <w:sz w:val="22"/>
        </w:rPr>
        <w:t>Gynecologist</w:t>
      </w:r>
      <w:r>
        <w:rPr>
          <w:i/>
          <w:spacing w:val="-6"/>
          <w:sz w:val="22"/>
        </w:rPr>
        <w:t> </w:t>
      </w:r>
      <w:r>
        <w:rPr>
          <w:i/>
          <w:sz w:val="22"/>
        </w:rPr>
        <w:t>and</w:t>
      </w:r>
      <w:r>
        <w:rPr>
          <w:i/>
          <w:spacing w:val="-4"/>
          <w:sz w:val="22"/>
        </w:rPr>
        <w:t> </w:t>
      </w:r>
      <w:r>
        <w:rPr>
          <w:i/>
          <w:sz w:val="22"/>
        </w:rPr>
        <w:t>Neonatal</w:t>
      </w:r>
      <w:r>
        <w:rPr>
          <w:i/>
          <w:spacing w:val="-3"/>
          <w:sz w:val="22"/>
        </w:rPr>
        <w:t> </w:t>
      </w:r>
      <w:r>
        <w:rPr>
          <w:i/>
          <w:sz w:val="22"/>
        </w:rPr>
        <w:t>Nurses</w:t>
      </w:r>
      <w:r>
        <w:rPr>
          <w:sz w:val="22"/>
        </w:rPr>
        <w:t>,</w:t>
      </w:r>
      <w:r>
        <w:rPr>
          <w:spacing w:val="-4"/>
          <w:sz w:val="22"/>
        </w:rPr>
        <w:t> </w:t>
      </w:r>
      <w:r>
        <w:rPr>
          <w:i/>
          <w:sz w:val="22"/>
        </w:rPr>
        <w:t>38</w:t>
      </w:r>
      <w:r>
        <w:rPr>
          <w:sz w:val="22"/>
        </w:rPr>
        <w:t>(4),</w:t>
      </w:r>
      <w:r>
        <w:rPr>
          <w:spacing w:val="-4"/>
          <w:sz w:val="22"/>
        </w:rPr>
        <w:t> </w:t>
      </w:r>
      <w:r>
        <w:rPr>
          <w:sz w:val="22"/>
        </w:rPr>
        <w:t>399-405.</w:t>
      </w:r>
      <w:r>
        <w:rPr>
          <w:spacing w:val="-4"/>
          <w:sz w:val="22"/>
        </w:rPr>
        <w:t> </w:t>
      </w:r>
      <w:r>
        <w:rPr>
          <w:sz w:val="22"/>
        </w:rPr>
        <w:t>Retrieved</w:t>
      </w:r>
      <w:r>
        <w:rPr>
          <w:spacing w:val="-4"/>
          <w:sz w:val="22"/>
        </w:rPr>
        <w:t> </w:t>
      </w:r>
      <w:r>
        <w:rPr>
          <w:sz w:val="22"/>
        </w:rPr>
        <w:t>from: </w:t>
      </w:r>
      <w:hyperlink r:id="rId25">
        <w:r>
          <w:rPr>
            <w:spacing w:val="-2"/>
            <w:sz w:val="22"/>
          </w:rPr>
          <w:t>http://www.ncbi.nlm.nih.gov/pubmed/19614875</w:t>
        </w:r>
      </w:hyperlink>
    </w:p>
    <w:p>
      <w:pPr>
        <w:pStyle w:val="BodyText"/>
        <w:ind w:left="839" w:right="290" w:hanging="720"/>
        <w:jc w:val="both"/>
      </w:pPr>
      <w:r>
        <w:rPr/>
        <w:t>Hummer,</w:t>
      </w:r>
      <w:r>
        <w:rPr>
          <w:spacing w:val="-2"/>
        </w:rPr>
        <w:t> </w:t>
      </w:r>
      <w:r>
        <w:rPr/>
        <w:t>R.</w:t>
      </w:r>
      <w:r>
        <w:rPr>
          <w:spacing w:val="-2"/>
        </w:rPr>
        <w:t> </w:t>
      </w:r>
      <w:r>
        <w:rPr/>
        <w:t>A.,</w:t>
      </w:r>
      <w:r>
        <w:rPr>
          <w:spacing w:val="-2"/>
        </w:rPr>
        <w:t> </w:t>
      </w:r>
      <w:r>
        <w:rPr/>
        <w:t>Hack,</w:t>
      </w:r>
      <w:r>
        <w:rPr>
          <w:spacing w:val="-2"/>
        </w:rPr>
        <w:t> </w:t>
      </w:r>
      <w:r>
        <w:rPr/>
        <w:t>K.</w:t>
      </w:r>
      <w:r>
        <w:rPr>
          <w:spacing w:val="-2"/>
        </w:rPr>
        <w:t> </w:t>
      </w:r>
      <w:r>
        <w:rPr/>
        <w:t>A.</w:t>
      </w:r>
      <w:r>
        <w:rPr>
          <w:spacing w:val="-2"/>
        </w:rPr>
        <w:t> </w:t>
      </w:r>
      <w:r>
        <w:rPr/>
        <w:t>&amp;</w:t>
      </w:r>
      <w:r>
        <w:rPr>
          <w:spacing w:val="-4"/>
        </w:rPr>
        <w:t> </w:t>
      </w:r>
      <w:r>
        <w:rPr/>
        <w:t>Raley,</w:t>
      </w:r>
      <w:r>
        <w:rPr>
          <w:spacing w:val="-2"/>
        </w:rPr>
        <w:t> </w:t>
      </w:r>
      <w:r>
        <w:rPr/>
        <w:t>R.</w:t>
      </w:r>
      <w:r>
        <w:rPr>
          <w:spacing w:val="-2"/>
        </w:rPr>
        <w:t> </w:t>
      </w:r>
      <w:r>
        <w:rPr/>
        <w:t>K.</w:t>
      </w:r>
      <w:r>
        <w:rPr>
          <w:spacing w:val="-5"/>
        </w:rPr>
        <w:t> </w:t>
      </w:r>
      <w:r>
        <w:rPr/>
        <w:t>(2004).</w:t>
      </w:r>
      <w:r>
        <w:rPr>
          <w:spacing w:val="-5"/>
        </w:rPr>
        <w:t> </w:t>
      </w:r>
      <w:r>
        <w:rPr/>
        <w:t>Retrospective</w:t>
      </w:r>
      <w:r>
        <w:rPr>
          <w:spacing w:val="-4"/>
        </w:rPr>
        <w:t> </w:t>
      </w:r>
      <w:r>
        <w:rPr/>
        <w:t>reports</w:t>
      </w:r>
      <w:r>
        <w:rPr>
          <w:spacing w:val="-4"/>
        </w:rPr>
        <w:t> </w:t>
      </w:r>
      <w:r>
        <w:rPr/>
        <w:t>of</w:t>
      </w:r>
      <w:r>
        <w:rPr>
          <w:spacing w:val="-1"/>
        </w:rPr>
        <w:t> </w:t>
      </w:r>
      <w:r>
        <w:rPr/>
        <w:t>pregnancy</w:t>
      </w:r>
      <w:r>
        <w:rPr>
          <w:spacing w:val="-5"/>
        </w:rPr>
        <w:t> </w:t>
      </w:r>
      <w:r>
        <w:rPr/>
        <w:t>wantedness</w:t>
      </w:r>
      <w:r>
        <w:rPr>
          <w:spacing w:val="-2"/>
        </w:rPr>
        <w:t> </w:t>
      </w:r>
      <w:r>
        <w:rPr/>
        <w:t>and child</w:t>
      </w:r>
      <w:r>
        <w:rPr>
          <w:spacing w:val="-2"/>
        </w:rPr>
        <w:t> </w:t>
      </w:r>
      <w:r>
        <w:rPr/>
        <w:t>well-being</w:t>
      </w:r>
      <w:r>
        <w:rPr>
          <w:spacing w:val="-5"/>
        </w:rPr>
        <w:t> </w:t>
      </w:r>
      <w:r>
        <w:rPr/>
        <w:t>in</w:t>
      </w:r>
      <w:r>
        <w:rPr>
          <w:spacing w:val="-2"/>
        </w:rPr>
        <w:t> </w:t>
      </w:r>
      <w:r>
        <w:rPr/>
        <w:t>the</w:t>
      </w:r>
      <w:r>
        <w:rPr>
          <w:spacing w:val="-2"/>
        </w:rPr>
        <w:t> </w:t>
      </w:r>
      <w:r>
        <w:rPr/>
        <w:t>United</w:t>
      </w:r>
      <w:r>
        <w:rPr>
          <w:spacing w:val="-2"/>
        </w:rPr>
        <w:t> </w:t>
      </w:r>
      <w:r>
        <w:rPr/>
        <w:t>States.</w:t>
      </w:r>
      <w:r>
        <w:rPr>
          <w:spacing w:val="-2"/>
        </w:rPr>
        <w:t> </w:t>
      </w:r>
      <w:r>
        <w:rPr>
          <w:i/>
        </w:rPr>
        <w:t>Journal</w:t>
      </w:r>
      <w:r>
        <w:rPr>
          <w:i/>
          <w:spacing w:val="-1"/>
        </w:rPr>
        <w:t> </w:t>
      </w:r>
      <w:r>
        <w:rPr>
          <w:i/>
        </w:rPr>
        <w:t>of</w:t>
      </w:r>
      <w:r>
        <w:rPr>
          <w:i/>
          <w:spacing w:val="-1"/>
        </w:rPr>
        <w:t> </w:t>
      </w:r>
      <w:r>
        <w:rPr>
          <w:i/>
        </w:rPr>
        <w:t>Family</w:t>
      </w:r>
      <w:r>
        <w:rPr>
          <w:i/>
          <w:spacing w:val="-2"/>
        </w:rPr>
        <w:t> </w:t>
      </w:r>
      <w:r>
        <w:rPr>
          <w:i/>
        </w:rPr>
        <w:t>Issues</w:t>
      </w:r>
      <w:r>
        <w:rPr/>
        <w:t>,</w:t>
      </w:r>
      <w:r>
        <w:rPr>
          <w:spacing w:val="-5"/>
        </w:rPr>
        <w:t> </w:t>
      </w:r>
      <w:r>
        <w:rPr>
          <w:i/>
        </w:rPr>
        <w:t>25</w:t>
      </w:r>
      <w:r>
        <w:rPr/>
        <w:t>(3),</w:t>
      </w:r>
      <w:r>
        <w:rPr>
          <w:spacing w:val="-2"/>
        </w:rPr>
        <w:t> </w:t>
      </w:r>
      <w:r>
        <w:rPr/>
        <w:t>404-428.</w:t>
      </w:r>
      <w:r>
        <w:rPr>
          <w:spacing w:val="-2"/>
        </w:rPr>
        <w:t> </w:t>
      </w:r>
      <w:r>
        <w:rPr/>
        <w:t>Retrieved</w:t>
      </w:r>
      <w:r>
        <w:rPr>
          <w:spacing w:val="-2"/>
        </w:rPr>
        <w:t> </w:t>
      </w:r>
      <w:r>
        <w:rPr/>
        <w:t>from: </w:t>
      </w:r>
      <w:hyperlink r:id="rId26">
        <w:r>
          <w:rPr>
            <w:spacing w:val="-2"/>
          </w:rPr>
          <w:t>http://jfi.sagepub.com/content/25/3/404.short</w:t>
        </w:r>
      </w:hyperlink>
    </w:p>
    <w:p>
      <w:pPr>
        <w:pStyle w:val="BodyText"/>
        <w:spacing w:line="252" w:lineRule="exact"/>
        <w:jc w:val="both"/>
      </w:pPr>
      <w:r>
        <w:rPr/>
        <w:t>IBM</w:t>
      </w:r>
      <w:r>
        <w:rPr>
          <w:spacing w:val="-4"/>
        </w:rPr>
        <w:t> </w:t>
      </w:r>
      <w:r>
        <w:rPr/>
        <w:t>Corp.</w:t>
      </w:r>
      <w:r>
        <w:rPr>
          <w:spacing w:val="-3"/>
        </w:rPr>
        <w:t> </w:t>
      </w:r>
      <w:r>
        <w:rPr/>
        <w:t>Released</w:t>
      </w:r>
      <w:r>
        <w:rPr>
          <w:spacing w:val="-4"/>
        </w:rPr>
        <w:t> </w:t>
      </w:r>
      <w:r>
        <w:rPr/>
        <w:t>2011.</w:t>
      </w:r>
      <w:r>
        <w:rPr>
          <w:spacing w:val="-6"/>
        </w:rPr>
        <w:t> </w:t>
      </w:r>
      <w:r>
        <w:rPr/>
        <w:t>IBM</w:t>
      </w:r>
      <w:r>
        <w:rPr>
          <w:spacing w:val="-3"/>
        </w:rPr>
        <w:t> </w:t>
      </w:r>
      <w:r>
        <w:rPr/>
        <w:t>SPSS</w:t>
      </w:r>
      <w:r>
        <w:rPr>
          <w:spacing w:val="-5"/>
        </w:rPr>
        <w:t> </w:t>
      </w:r>
      <w:r>
        <w:rPr/>
        <w:t>Statistics</w:t>
      </w:r>
      <w:r>
        <w:rPr>
          <w:spacing w:val="-5"/>
        </w:rPr>
        <w:t> </w:t>
      </w:r>
      <w:r>
        <w:rPr/>
        <w:t>for</w:t>
      </w:r>
      <w:r>
        <w:rPr>
          <w:spacing w:val="-5"/>
        </w:rPr>
        <w:t> </w:t>
      </w:r>
      <w:r>
        <w:rPr/>
        <w:t>Windows,</w:t>
      </w:r>
      <w:r>
        <w:rPr>
          <w:spacing w:val="-6"/>
        </w:rPr>
        <w:t> </w:t>
      </w:r>
      <w:r>
        <w:rPr/>
        <w:t>Version</w:t>
      </w:r>
      <w:r>
        <w:rPr>
          <w:spacing w:val="-4"/>
        </w:rPr>
        <w:t> </w:t>
      </w:r>
      <w:r>
        <w:rPr/>
        <w:t>20.0.</w:t>
      </w:r>
      <w:r>
        <w:rPr>
          <w:spacing w:val="-3"/>
        </w:rPr>
        <w:t> </w:t>
      </w:r>
      <w:r>
        <w:rPr/>
        <w:t>Armonk,</w:t>
      </w:r>
      <w:r>
        <w:rPr>
          <w:spacing w:val="-4"/>
        </w:rPr>
        <w:t> </w:t>
      </w:r>
      <w:r>
        <w:rPr/>
        <w:t>NY: IBM</w:t>
      </w:r>
      <w:r>
        <w:rPr>
          <w:spacing w:val="-3"/>
        </w:rPr>
        <w:t> </w:t>
      </w:r>
      <w:r>
        <w:rPr>
          <w:spacing w:val="-2"/>
        </w:rPr>
        <w:t>Corp.</w:t>
      </w:r>
    </w:p>
    <w:p>
      <w:pPr>
        <w:pStyle w:val="BodyText"/>
        <w:tabs>
          <w:tab w:pos="8039" w:val="left" w:leader="none"/>
        </w:tabs>
        <w:ind w:left="839" w:right="311" w:hanging="720"/>
      </w:pPr>
      <w:r>
        <w:rPr/>
        <w:t>Iuliano, A., Speizer, I., Santelli, J. &amp; Kendall, C. (2006). Reasons for contraceptive</w:t>
        <w:tab/>
        <w:t>nonuse</w:t>
      </w:r>
      <w:r>
        <w:rPr>
          <w:spacing w:val="-14"/>
        </w:rPr>
        <w:t> </w:t>
      </w:r>
      <w:r>
        <w:rPr/>
        <w:t>at</w:t>
      </w:r>
      <w:r>
        <w:rPr>
          <w:spacing w:val="-14"/>
        </w:rPr>
        <w:t> </w:t>
      </w:r>
      <w:r>
        <w:rPr/>
        <w:t>first sex and unintended pregnancy. </w:t>
      </w:r>
      <w:r>
        <w:rPr>
          <w:i/>
        </w:rPr>
        <w:t>American Journal of Health Behavior 30</w:t>
      </w:r>
      <w:r>
        <w:rPr/>
        <w:t>(1), 92-102. Retrieved from: </w:t>
      </w:r>
      <w:hyperlink r:id="rId27">
        <w:r>
          <w:rPr/>
          <w:t>http://www.ncbi.nlm.nih.gov/pubmed/16430324</w:t>
        </w:r>
      </w:hyperlink>
    </w:p>
    <w:p>
      <w:pPr>
        <w:pStyle w:val="BodyText"/>
        <w:ind w:left="839" w:right="245" w:hanging="721"/>
      </w:pPr>
      <w:r>
        <w:rPr/>
        <w:t>Kagawa-Singer, M., Tanjasiri, S. P., Valdez, A., Yu, H. &amp; Foo, M. A. (2009). Outcomes of a breast health</w:t>
      </w:r>
      <w:r>
        <w:rPr>
          <w:spacing w:val="-3"/>
        </w:rPr>
        <w:t> </w:t>
      </w:r>
      <w:r>
        <w:rPr/>
        <w:t>project</w:t>
      </w:r>
      <w:r>
        <w:rPr>
          <w:spacing w:val="-2"/>
        </w:rPr>
        <w:t> </w:t>
      </w:r>
      <w:r>
        <w:rPr/>
        <w:t>for</w:t>
      </w:r>
      <w:r>
        <w:rPr>
          <w:spacing w:val="-2"/>
        </w:rPr>
        <w:t> </w:t>
      </w:r>
      <w:r>
        <w:rPr/>
        <w:t>Hmong</w:t>
      </w:r>
      <w:r>
        <w:rPr>
          <w:spacing w:val="-6"/>
        </w:rPr>
        <w:t> </w:t>
      </w:r>
      <w:r>
        <w:rPr/>
        <w:t>women</w:t>
      </w:r>
      <w:r>
        <w:rPr>
          <w:spacing w:val="-3"/>
        </w:rPr>
        <w:t> </w:t>
      </w:r>
      <w:r>
        <w:rPr/>
        <w:t>and</w:t>
      </w:r>
      <w:r>
        <w:rPr>
          <w:spacing w:val="-3"/>
        </w:rPr>
        <w:t> </w:t>
      </w:r>
      <w:r>
        <w:rPr/>
        <w:t>men</w:t>
      </w:r>
      <w:r>
        <w:rPr>
          <w:spacing w:val="-3"/>
        </w:rPr>
        <w:t> </w:t>
      </w:r>
      <w:r>
        <w:rPr/>
        <w:t>in</w:t>
      </w:r>
      <w:r>
        <w:rPr>
          <w:spacing w:val="-3"/>
        </w:rPr>
        <w:t> </w:t>
      </w:r>
      <w:r>
        <w:rPr/>
        <w:t>California.</w:t>
      </w:r>
      <w:r>
        <w:rPr>
          <w:spacing w:val="-3"/>
        </w:rPr>
        <w:t> </w:t>
      </w:r>
      <w:r>
        <w:rPr>
          <w:i/>
        </w:rPr>
        <w:t>American</w:t>
      </w:r>
      <w:r>
        <w:rPr>
          <w:i/>
          <w:spacing w:val="-3"/>
        </w:rPr>
        <w:t> </w:t>
      </w:r>
      <w:r>
        <w:rPr>
          <w:i/>
        </w:rPr>
        <w:t>Journal</w:t>
      </w:r>
      <w:r>
        <w:rPr>
          <w:i/>
          <w:spacing w:val="-2"/>
        </w:rPr>
        <w:t> </w:t>
      </w:r>
      <w:r>
        <w:rPr>
          <w:i/>
        </w:rPr>
        <w:t>of</w:t>
      </w:r>
      <w:r>
        <w:rPr>
          <w:i/>
          <w:spacing w:val="-2"/>
        </w:rPr>
        <w:t> </w:t>
      </w:r>
      <w:r>
        <w:rPr>
          <w:i/>
        </w:rPr>
        <w:t>Public</w:t>
      </w:r>
      <w:r>
        <w:rPr>
          <w:i/>
          <w:spacing w:val="-3"/>
        </w:rPr>
        <w:t> </w:t>
      </w:r>
      <w:r>
        <w:rPr>
          <w:i/>
        </w:rPr>
        <w:t>Health</w:t>
      </w:r>
      <w:r>
        <w:rPr/>
        <w:t>,</w:t>
      </w:r>
      <w:r>
        <w:rPr>
          <w:spacing w:val="-3"/>
        </w:rPr>
        <w:t> </w:t>
      </w:r>
      <w:r>
        <w:rPr>
          <w:i/>
        </w:rPr>
        <w:t>99</w:t>
      </w:r>
      <w:r>
        <w:rPr/>
        <w:t>, S467-S473. Retrieved from: </w:t>
      </w:r>
      <w:hyperlink r:id="rId28">
        <w:r>
          <w:rPr/>
          <w:t>http://www.ncbi.nlm.nih.gov/pubmed/19443830</w:t>
        </w:r>
      </w:hyperlink>
    </w:p>
    <w:p>
      <w:pPr>
        <w:pStyle w:val="BodyText"/>
        <w:ind w:left="839" w:right="155" w:hanging="721"/>
      </w:pPr>
      <w:r>
        <w:rPr/>
        <w:t>Kelley, K. (1998). Affective responses toward contraceptive topics and behavior scale. </w:t>
      </w:r>
      <w:r>
        <w:rPr>
          <w:i/>
        </w:rPr>
        <w:t>Handbook of</w:t>
      </w:r>
      <w:r>
        <w:rPr>
          <w:i/>
        </w:rPr>
        <w:t> Sexuality-Related Measures</w:t>
      </w:r>
      <w:r>
        <w:rPr/>
        <w:t>, 162. Retrieved from: </w:t>
      </w:r>
      <w:hyperlink r:id="rId29">
        <w:r>
          <w:rPr>
            <w:spacing w:val="-2"/>
          </w:rPr>
          <w:t>http://books.google.com/books?hl=en&amp;lr=&amp;id=EFPs55zfAKcC&amp;oi=fnd&amp;pg=PA162&amp;dq=Affect</w:t>
        </w:r>
      </w:hyperlink>
      <w:r>
        <w:rPr>
          <w:spacing w:val="-2"/>
        </w:rPr>
        <w:t> ive+responses+toward+contraceptive+topics+and+behavior+scale.&amp;ots=QA7qKq6M8A&amp;sig=El N4oxbruToDF3nIVrztN3Rmumk#v=onepage&amp;q=Affective%20responsre%20toward%20contrac eptive%20topics%20and%20behavior%20scale.&amp;f=false</w:t>
      </w:r>
    </w:p>
    <w:p>
      <w:pPr>
        <w:pStyle w:val="BodyText"/>
        <w:spacing w:line="252" w:lineRule="exact"/>
      </w:pPr>
      <w:r>
        <w:rPr/>
        <w:t>Miller,</w:t>
      </w:r>
      <w:r>
        <w:rPr>
          <w:spacing w:val="-6"/>
        </w:rPr>
        <w:t> </w:t>
      </w:r>
      <w:r>
        <w:rPr/>
        <w:t>L.</w:t>
      </w:r>
      <w:r>
        <w:rPr>
          <w:spacing w:val="-7"/>
        </w:rPr>
        <w:t> </w:t>
      </w:r>
      <w:r>
        <w:rPr/>
        <w:t>(2011).</w:t>
      </w:r>
      <w:r>
        <w:rPr>
          <w:spacing w:val="-4"/>
        </w:rPr>
        <w:t> </w:t>
      </w:r>
      <w:r>
        <w:rPr/>
        <w:t>College</w:t>
      </w:r>
      <w:r>
        <w:rPr>
          <w:spacing w:val="-4"/>
        </w:rPr>
        <w:t> </w:t>
      </w:r>
      <w:r>
        <w:rPr/>
        <w:t>student</w:t>
      </w:r>
      <w:r>
        <w:rPr>
          <w:spacing w:val="-3"/>
        </w:rPr>
        <w:t> </w:t>
      </w:r>
      <w:r>
        <w:rPr/>
        <w:t>knowledge</w:t>
      </w:r>
      <w:r>
        <w:rPr>
          <w:spacing w:val="-4"/>
        </w:rPr>
        <w:t> </w:t>
      </w:r>
      <w:r>
        <w:rPr/>
        <w:t>and</w:t>
      </w:r>
      <w:r>
        <w:rPr>
          <w:spacing w:val="-6"/>
        </w:rPr>
        <w:t> </w:t>
      </w:r>
      <w:r>
        <w:rPr/>
        <w:t>attitudes</w:t>
      </w:r>
      <w:r>
        <w:rPr>
          <w:spacing w:val="-4"/>
        </w:rPr>
        <w:t> </w:t>
      </w:r>
      <w:r>
        <w:rPr/>
        <w:t>toward</w:t>
      </w:r>
      <w:r>
        <w:rPr>
          <w:spacing w:val="-7"/>
        </w:rPr>
        <w:t> </w:t>
      </w:r>
      <w:r>
        <w:rPr/>
        <w:t>emergency</w:t>
      </w:r>
      <w:r>
        <w:rPr>
          <w:spacing w:val="-6"/>
        </w:rPr>
        <w:t> </w:t>
      </w:r>
      <w:r>
        <w:rPr>
          <w:spacing w:val="-2"/>
        </w:rPr>
        <w:t>contraception.</w:t>
      </w:r>
    </w:p>
    <w:p>
      <w:pPr>
        <w:pStyle w:val="BodyText"/>
        <w:ind w:right="243" w:firstLine="720"/>
      </w:pPr>
      <w:r>
        <w:rPr>
          <w:i/>
        </w:rPr>
        <w:t>Contraception</w:t>
      </w:r>
      <w:r>
        <w:rPr/>
        <w:t>, </w:t>
      </w:r>
      <w:r>
        <w:rPr>
          <w:i/>
        </w:rPr>
        <w:t>83</w:t>
      </w:r>
      <w:r>
        <w:rPr/>
        <w:t>(1), 68–73. Retrieved from: </w:t>
      </w:r>
      <w:hyperlink r:id="rId30">
        <w:r>
          <w:rPr/>
          <w:t>http://www.ncbi.nlm.nih.gov/pubmed/21134506</w:t>
        </w:r>
      </w:hyperlink>
      <w:r>
        <w:rPr/>
        <w:t> Mayi-Tsonga,</w:t>
      </w:r>
      <w:r>
        <w:rPr>
          <w:spacing w:val="-6"/>
        </w:rPr>
        <w:t> </w:t>
      </w:r>
      <w:r>
        <w:rPr/>
        <w:t>S.,</w:t>
      </w:r>
      <w:r>
        <w:rPr>
          <w:spacing w:val="-3"/>
        </w:rPr>
        <w:t> </w:t>
      </w:r>
      <w:r>
        <w:rPr/>
        <w:t>Obiang,</w:t>
      </w:r>
      <w:r>
        <w:rPr>
          <w:spacing w:val="-6"/>
        </w:rPr>
        <w:t> </w:t>
      </w:r>
      <w:r>
        <w:rPr/>
        <w:t>P.A.,</w:t>
      </w:r>
      <w:r>
        <w:rPr>
          <w:spacing w:val="-3"/>
        </w:rPr>
        <w:t> </w:t>
      </w:r>
      <w:r>
        <w:rPr/>
        <w:t>Minkobame,</w:t>
      </w:r>
      <w:r>
        <w:rPr>
          <w:spacing w:val="-4"/>
        </w:rPr>
        <w:t> </w:t>
      </w:r>
      <w:r>
        <w:rPr/>
        <w:t>U.,</w:t>
      </w:r>
      <w:r>
        <w:rPr>
          <w:spacing w:val="-3"/>
        </w:rPr>
        <w:t> </w:t>
      </w:r>
      <w:r>
        <w:rPr/>
        <w:t>Ngouafo,</w:t>
      </w:r>
      <w:r>
        <w:rPr>
          <w:spacing w:val="-3"/>
        </w:rPr>
        <w:t> </w:t>
      </w:r>
      <w:r>
        <w:rPr/>
        <w:t>D.,</w:t>
      </w:r>
      <w:r>
        <w:rPr>
          <w:spacing w:val="-4"/>
        </w:rPr>
        <w:t> </w:t>
      </w:r>
      <w:r>
        <w:rPr/>
        <w:t>Ambounda,</w:t>
      </w:r>
      <w:r>
        <w:rPr>
          <w:spacing w:val="-3"/>
        </w:rPr>
        <w:t> </w:t>
      </w:r>
      <w:r>
        <w:rPr/>
        <w:t>N.,</w:t>
      </w:r>
      <w:r>
        <w:rPr>
          <w:spacing w:val="-3"/>
        </w:rPr>
        <w:t> </w:t>
      </w:r>
      <w:r>
        <w:rPr/>
        <w:t>&amp;</w:t>
      </w:r>
      <w:r>
        <w:rPr>
          <w:spacing w:val="-7"/>
        </w:rPr>
        <w:t> </w:t>
      </w:r>
      <w:r>
        <w:rPr/>
        <w:t>DeSousa,</w:t>
      </w:r>
      <w:r>
        <w:rPr>
          <w:spacing w:val="-6"/>
        </w:rPr>
        <w:t> </w:t>
      </w:r>
      <w:r>
        <w:rPr/>
        <w:t>M.H.</w:t>
      </w:r>
      <w:r>
        <w:rPr>
          <w:spacing w:val="-3"/>
        </w:rPr>
        <w:t> </w:t>
      </w:r>
      <w:r>
        <w:rPr>
          <w:spacing w:val="-2"/>
        </w:rPr>
        <w:t>(2014).</w:t>
      </w:r>
    </w:p>
    <w:p>
      <w:pPr>
        <w:spacing w:before="0"/>
        <w:ind w:left="839" w:right="14" w:firstLine="0"/>
        <w:jc w:val="left"/>
        <w:rPr>
          <w:sz w:val="22"/>
        </w:rPr>
      </w:pPr>
      <w:r>
        <w:rPr>
          <w:sz w:val="22"/>
        </w:rPr>
        <w:t>Introduction</w:t>
      </w:r>
      <w:r>
        <w:rPr>
          <w:spacing w:val="-4"/>
          <w:sz w:val="22"/>
        </w:rPr>
        <w:t> </w:t>
      </w:r>
      <w:r>
        <w:rPr>
          <w:sz w:val="22"/>
        </w:rPr>
        <w:t>of</w:t>
      </w:r>
      <w:r>
        <w:rPr>
          <w:spacing w:val="-3"/>
          <w:sz w:val="22"/>
        </w:rPr>
        <w:t> </w:t>
      </w:r>
      <w:r>
        <w:rPr>
          <w:sz w:val="22"/>
        </w:rPr>
        <w:t>post-abortion</w:t>
      </w:r>
      <w:r>
        <w:rPr>
          <w:spacing w:val="-4"/>
          <w:sz w:val="22"/>
        </w:rPr>
        <w:t> </w:t>
      </w:r>
      <w:r>
        <w:rPr>
          <w:sz w:val="22"/>
        </w:rPr>
        <w:t>contraception,</w:t>
      </w:r>
      <w:r>
        <w:rPr>
          <w:spacing w:val="-7"/>
          <w:sz w:val="22"/>
        </w:rPr>
        <w:t> </w:t>
      </w:r>
      <w:r>
        <w:rPr>
          <w:sz w:val="22"/>
        </w:rPr>
        <w:t>prioritizing</w:t>
      </w:r>
      <w:r>
        <w:rPr>
          <w:spacing w:val="-7"/>
          <w:sz w:val="22"/>
        </w:rPr>
        <w:t> </w:t>
      </w:r>
      <w:r>
        <w:rPr>
          <w:sz w:val="22"/>
        </w:rPr>
        <w:t>long-lasting</w:t>
      </w:r>
      <w:r>
        <w:rPr>
          <w:spacing w:val="-7"/>
          <w:sz w:val="22"/>
        </w:rPr>
        <w:t> </w:t>
      </w:r>
      <w:r>
        <w:rPr>
          <w:sz w:val="22"/>
        </w:rPr>
        <w:t>reversible</w:t>
      </w:r>
      <w:r>
        <w:rPr>
          <w:spacing w:val="-4"/>
          <w:sz w:val="22"/>
        </w:rPr>
        <w:t> </w:t>
      </w:r>
      <w:r>
        <w:rPr>
          <w:sz w:val="22"/>
        </w:rPr>
        <w:t>contraceptives,</w:t>
      </w:r>
      <w:r>
        <w:rPr>
          <w:spacing w:val="-7"/>
          <w:sz w:val="22"/>
        </w:rPr>
        <w:t> </w:t>
      </w:r>
      <w:r>
        <w:rPr>
          <w:sz w:val="22"/>
        </w:rPr>
        <w:t>in the principal maternity hospital in Gabon. </w:t>
      </w:r>
      <w:r>
        <w:rPr>
          <w:i/>
          <w:sz w:val="22"/>
        </w:rPr>
        <w:t>International Journal of Gyneacology &amp; Obstetrics,</w:t>
      </w:r>
      <w:r>
        <w:rPr>
          <w:i/>
          <w:sz w:val="22"/>
        </w:rPr>
        <w:t> 126</w:t>
      </w:r>
      <w:r>
        <w:rPr>
          <w:sz w:val="22"/>
        </w:rPr>
        <w:t>(Suppl1), S45-S48. Retrieved from: </w:t>
      </w:r>
      <w:hyperlink r:id="rId31">
        <w:r>
          <w:rPr>
            <w:sz w:val="22"/>
          </w:rPr>
          <w:t>www.ncbi.nlm.nih.gov/pubmed/24745694</w:t>
        </w:r>
      </w:hyperlink>
    </w:p>
    <w:p>
      <w:pPr>
        <w:pStyle w:val="BodyText"/>
        <w:ind w:left="839" w:hanging="721"/>
      </w:pPr>
      <w:r>
        <w:rPr/>
        <w:t>Moreau,</w:t>
      </w:r>
      <w:r>
        <w:rPr>
          <w:spacing w:val="-2"/>
        </w:rPr>
        <w:t> </w:t>
      </w:r>
      <w:r>
        <w:rPr/>
        <w:t>C.,</w:t>
      </w:r>
      <w:r>
        <w:rPr>
          <w:spacing w:val="-2"/>
        </w:rPr>
        <w:t> </w:t>
      </w:r>
      <w:r>
        <w:rPr/>
        <w:t>Bouver,</w:t>
      </w:r>
      <w:r>
        <w:rPr>
          <w:spacing w:val="-5"/>
        </w:rPr>
        <w:t> </w:t>
      </w:r>
      <w:r>
        <w:rPr/>
        <w:t>J.,</w:t>
      </w:r>
      <w:r>
        <w:rPr>
          <w:spacing w:val="-2"/>
        </w:rPr>
        <w:t> </w:t>
      </w:r>
      <w:r>
        <w:rPr/>
        <w:t>Goulard,</w:t>
      </w:r>
      <w:r>
        <w:rPr>
          <w:spacing w:val="-2"/>
        </w:rPr>
        <w:t> </w:t>
      </w:r>
      <w:r>
        <w:rPr/>
        <w:t>H.</w:t>
      </w:r>
      <w:r>
        <w:rPr>
          <w:spacing w:val="-2"/>
        </w:rPr>
        <w:t> </w:t>
      </w:r>
      <w:r>
        <w:rPr/>
        <w:t>&amp;</w:t>
      </w:r>
      <w:r>
        <w:rPr>
          <w:spacing w:val="-4"/>
        </w:rPr>
        <w:t> </w:t>
      </w:r>
      <w:r>
        <w:rPr/>
        <w:t>Bajos,N.</w:t>
      </w:r>
      <w:r>
        <w:rPr>
          <w:spacing w:val="-2"/>
        </w:rPr>
        <w:t> </w:t>
      </w:r>
      <w:r>
        <w:rPr/>
        <w:t>(2005).</w:t>
      </w:r>
      <w:r>
        <w:rPr>
          <w:spacing w:val="-5"/>
        </w:rPr>
        <w:t> </w:t>
      </w:r>
      <w:r>
        <w:rPr/>
        <w:t>The</w:t>
      </w:r>
      <w:r>
        <w:rPr>
          <w:spacing w:val="-4"/>
        </w:rPr>
        <w:t> </w:t>
      </w:r>
      <w:r>
        <w:rPr/>
        <w:t>remaining</w:t>
      </w:r>
      <w:r>
        <w:rPr>
          <w:spacing w:val="-5"/>
        </w:rPr>
        <w:t> </w:t>
      </w:r>
      <w:r>
        <w:rPr/>
        <w:t>barriers</w:t>
      </w:r>
      <w:r>
        <w:rPr>
          <w:spacing w:val="-2"/>
        </w:rPr>
        <w:t> </w:t>
      </w:r>
      <w:r>
        <w:rPr/>
        <w:t>to</w:t>
      </w:r>
      <w:r>
        <w:rPr>
          <w:spacing w:val="-5"/>
        </w:rPr>
        <w:t> </w:t>
      </w:r>
      <w:r>
        <w:rPr/>
        <w:t>the</w:t>
      </w:r>
      <w:r>
        <w:rPr>
          <w:spacing w:val="-2"/>
        </w:rPr>
        <w:t> </w:t>
      </w:r>
      <w:r>
        <w:rPr/>
        <w:t>use</w:t>
      </w:r>
      <w:r>
        <w:rPr>
          <w:spacing w:val="-2"/>
        </w:rPr>
        <w:t> </w:t>
      </w:r>
      <w:r>
        <w:rPr/>
        <w:t>of</w:t>
      </w:r>
      <w:r>
        <w:rPr>
          <w:spacing w:val="-1"/>
        </w:rPr>
        <w:t> </w:t>
      </w:r>
      <w:r>
        <w:rPr/>
        <w:t>emergency contraception: Perception of pregnancy risk by women undergoing induced abortions.</w:t>
      </w:r>
    </w:p>
    <w:p>
      <w:pPr>
        <w:pStyle w:val="BodyText"/>
        <w:ind w:firstLine="720"/>
      </w:pPr>
      <w:r>
        <w:rPr>
          <w:i/>
        </w:rPr>
        <w:t>Contraception</w:t>
      </w:r>
      <w:r>
        <w:rPr/>
        <w:t>,</w:t>
      </w:r>
      <w:r>
        <w:rPr>
          <w:spacing w:val="-9"/>
        </w:rPr>
        <w:t> </w:t>
      </w:r>
      <w:r>
        <w:rPr>
          <w:i/>
        </w:rPr>
        <w:t>71</w:t>
      </w:r>
      <w:r>
        <w:rPr/>
        <w:t>,</w:t>
      </w:r>
      <w:r>
        <w:rPr>
          <w:spacing w:val="-7"/>
        </w:rPr>
        <w:t> </w:t>
      </w:r>
      <w:r>
        <w:rPr/>
        <w:t>202-207.</w:t>
      </w:r>
      <w:r>
        <w:rPr>
          <w:spacing w:val="-7"/>
        </w:rPr>
        <w:t> </w:t>
      </w:r>
      <w:r>
        <w:rPr/>
        <w:t>Retrieved</w:t>
      </w:r>
      <w:r>
        <w:rPr>
          <w:spacing w:val="-7"/>
        </w:rPr>
        <w:t> </w:t>
      </w:r>
      <w:r>
        <w:rPr/>
        <w:t>from:</w:t>
      </w:r>
      <w:r>
        <w:rPr>
          <w:spacing w:val="-6"/>
        </w:rPr>
        <w:t> </w:t>
      </w:r>
      <w:hyperlink r:id="rId32">
        <w:r>
          <w:rPr/>
          <w:t>http://www.ncbi.nlm.nih.gov/pubmed/15722071</w:t>
        </w:r>
      </w:hyperlink>
      <w:r>
        <w:rPr/>
        <w:t> Neustadt, A., Holmquist, S., Davis, S. &amp; Gilliam, M. (2011) Sexual, relationship, contraceptive, and</w:t>
      </w:r>
    </w:p>
    <w:p>
      <w:pPr>
        <w:pStyle w:val="BodyText"/>
        <w:ind w:left="839"/>
      </w:pPr>
      <w:r>
        <w:rPr/>
        <w:t>personal</w:t>
      </w:r>
      <w:r>
        <w:rPr>
          <w:spacing w:val="-5"/>
        </w:rPr>
        <w:t> </w:t>
      </w:r>
      <w:r>
        <w:rPr/>
        <w:t>factors</w:t>
      </w:r>
      <w:r>
        <w:rPr>
          <w:spacing w:val="-5"/>
        </w:rPr>
        <w:t> </w:t>
      </w:r>
      <w:r>
        <w:rPr/>
        <w:t>influencing</w:t>
      </w:r>
      <w:r>
        <w:rPr>
          <w:spacing w:val="-6"/>
        </w:rPr>
        <w:t> </w:t>
      </w:r>
      <w:r>
        <w:rPr/>
        <w:t>emergency</w:t>
      </w:r>
      <w:r>
        <w:rPr>
          <w:spacing w:val="-6"/>
        </w:rPr>
        <w:t> </w:t>
      </w:r>
      <w:r>
        <w:rPr/>
        <w:t>contraception</w:t>
      </w:r>
      <w:r>
        <w:rPr>
          <w:spacing w:val="-3"/>
        </w:rPr>
        <w:t> </w:t>
      </w:r>
      <w:r>
        <w:rPr/>
        <w:t>use:</w:t>
      </w:r>
      <w:r>
        <w:rPr>
          <w:spacing w:val="-2"/>
        </w:rPr>
        <w:t> </w:t>
      </w:r>
      <w:r>
        <w:rPr/>
        <w:t>A</w:t>
      </w:r>
      <w:r>
        <w:rPr>
          <w:spacing w:val="-4"/>
        </w:rPr>
        <w:t> </w:t>
      </w:r>
      <w:r>
        <w:rPr/>
        <w:t>qualitative</w:t>
      </w:r>
      <w:r>
        <w:rPr>
          <w:spacing w:val="-3"/>
        </w:rPr>
        <w:t> </w:t>
      </w:r>
      <w:r>
        <w:rPr/>
        <w:t>study.</w:t>
      </w:r>
      <w:r>
        <w:rPr>
          <w:spacing w:val="-3"/>
        </w:rPr>
        <w:t> </w:t>
      </w:r>
      <w:r>
        <w:rPr>
          <w:i/>
        </w:rPr>
        <w:t>Contraception</w:t>
      </w:r>
      <w:r>
        <w:rPr/>
        <w:t>, </w:t>
      </w:r>
      <w:r>
        <w:rPr>
          <w:i/>
        </w:rPr>
        <w:t>84</w:t>
      </w:r>
      <w:r>
        <w:rPr/>
        <w:t>(3), 266-272. Retrieved from: </w:t>
      </w:r>
      <w:hyperlink r:id="rId33">
        <w:r>
          <w:rPr/>
          <w:t>http://www.ncbi.nlm.nih.gov/pubmed/21843692</w:t>
        </w:r>
      </w:hyperlink>
    </w:p>
    <w:p>
      <w:pPr>
        <w:spacing w:after="0"/>
        <w:sectPr>
          <w:pgSz w:w="12240" w:h="15840"/>
          <w:pgMar w:header="699" w:footer="794" w:top="1340" w:bottom="980" w:left="1320" w:right="1320"/>
        </w:sectPr>
      </w:pPr>
    </w:p>
    <w:p>
      <w:pPr>
        <w:pStyle w:val="BodyText"/>
        <w:spacing w:before="84"/>
        <w:ind w:left="839" w:hanging="720"/>
      </w:pPr>
      <w:r>
        <w:rPr/>
        <w:t>Nguyen, B. &amp; Zaller, N. (2009) Male Access to over-the-counter emergency contraception a survey of acceptability</w:t>
      </w:r>
      <w:r>
        <w:rPr>
          <w:spacing w:val="-5"/>
        </w:rPr>
        <w:t> </w:t>
      </w:r>
      <w:r>
        <w:rPr/>
        <w:t>and</w:t>
      </w:r>
      <w:r>
        <w:rPr>
          <w:spacing w:val="-2"/>
        </w:rPr>
        <w:t> </w:t>
      </w:r>
      <w:r>
        <w:rPr/>
        <w:t>barriers</w:t>
      </w:r>
      <w:r>
        <w:rPr>
          <w:spacing w:val="-2"/>
        </w:rPr>
        <w:t> </w:t>
      </w:r>
      <w:r>
        <w:rPr/>
        <w:t>in</w:t>
      </w:r>
      <w:r>
        <w:rPr>
          <w:spacing w:val="-5"/>
        </w:rPr>
        <w:t> </w:t>
      </w:r>
      <w:r>
        <w:rPr/>
        <w:t>Providence,</w:t>
      </w:r>
      <w:r>
        <w:rPr>
          <w:spacing w:val="-2"/>
        </w:rPr>
        <w:t> </w:t>
      </w:r>
      <w:r>
        <w:rPr/>
        <w:t>Rhode</w:t>
      </w:r>
      <w:r>
        <w:rPr>
          <w:spacing w:val="-2"/>
        </w:rPr>
        <w:t> </w:t>
      </w:r>
      <w:r>
        <w:rPr/>
        <w:t>Island.</w:t>
      </w:r>
      <w:r>
        <w:rPr>
          <w:spacing w:val="-5"/>
        </w:rPr>
        <w:t> </w:t>
      </w:r>
      <w:r>
        <w:rPr>
          <w:i/>
        </w:rPr>
        <w:t>Women’s</w:t>
      </w:r>
      <w:r>
        <w:rPr>
          <w:i/>
          <w:spacing w:val="-2"/>
        </w:rPr>
        <w:t> </w:t>
      </w:r>
      <w:r>
        <w:rPr>
          <w:i/>
        </w:rPr>
        <w:t>Health</w:t>
      </w:r>
      <w:r>
        <w:rPr>
          <w:i/>
          <w:spacing w:val="-5"/>
        </w:rPr>
        <w:t> </w:t>
      </w:r>
      <w:r>
        <w:rPr>
          <w:i/>
        </w:rPr>
        <w:t>Journal</w:t>
      </w:r>
      <w:r>
        <w:rPr/>
        <w:t>,</w:t>
      </w:r>
      <w:r>
        <w:rPr>
          <w:spacing w:val="-5"/>
        </w:rPr>
        <w:t> </w:t>
      </w:r>
      <w:r>
        <w:rPr>
          <w:i/>
        </w:rPr>
        <w:t>19</w:t>
      </w:r>
      <w:r>
        <w:rPr/>
        <w:t>(6),</w:t>
      </w:r>
      <w:r>
        <w:rPr>
          <w:spacing w:val="-5"/>
        </w:rPr>
        <w:t> </w:t>
      </w:r>
      <w:r>
        <w:rPr/>
        <w:t>365-372. Retrieved from: </w:t>
      </w:r>
      <w:hyperlink r:id="rId34">
        <w:r>
          <w:rPr/>
          <w:t>http://www.ncbi.nlm.nih.gov/pubmed/19879451</w:t>
        </w:r>
      </w:hyperlink>
    </w:p>
    <w:p>
      <w:pPr>
        <w:pStyle w:val="BodyText"/>
        <w:ind w:left="839" w:hanging="721"/>
      </w:pPr>
      <w:r>
        <w:rPr/>
        <w:t>Pratt,</w:t>
      </w:r>
      <w:r>
        <w:rPr>
          <w:spacing w:val="-2"/>
        </w:rPr>
        <w:t> </w:t>
      </w:r>
      <w:r>
        <w:rPr/>
        <w:t>R.,</w:t>
      </w:r>
      <w:r>
        <w:rPr>
          <w:spacing w:val="-2"/>
        </w:rPr>
        <w:t> </w:t>
      </w:r>
      <w:r>
        <w:rPr/>
        <w:t>Stephenson,</w:t>
      </w:r>
      <w:r>
        <w:rPr>
          <w:spacing w:val="-5"/>
        </w:rPr>
        <w:t> </w:t>
      </w:r>
      <w:r>
        <w:rPr/>
        <w:t>J.,</w:t>
      </w:r>
      <w:r>
        <w:rPr>
          <w:spacing w:val="-2"/>
        </w:rPr>
        <w:t> </w:t>
      </w:r>
      <w:r>
        <w:rPr/>
        <w:t>&amp;</w:t>
      </w:r>
      <w:r>
        <w:rPr>
          <w:spacing w:val="-6"/>
        </w:rPr>
        <w:t> </w:t>
      </w:r>
      <w:r>
        <w:rPr/>
        <w:t>Mann,</w:t>
      </w:r>
      <w:r>
        <w:rPr>
          <w:spacing w:val="-2"/>
        </w:rPr>
        <w:t> </w:t>
      </w:r>
      <w:r>
        <w:rPr/>
        <w:t>S.</w:t>
      </w:r>
      <w:r>
        <w:rPr>
          <w:spacing w:val="-5"/>
        </w:rPr>
        <w:t> </w:t>
      </w:r>
      <w:r>
        <w:rPr/>
        <w:t>(2014).</w:t>
      </w:r>
      <w:r>
        <w:rPr>
          <w:spacing w:val="-5"/>
        </w:rPr>
        <w:t> </w:t>
      </w:r>
      <w:r>
        <w:rPr/>
        <w:t>What</w:t>
      </w:r>
      <w:r>
        <w:rPr>
          <w:spacing w:val="-1"/>
        </w:rPr>
        <w:t> </w:t>
      </w:r>
      <w:r>
        <w:rPr/>
        <w:t>influences</w:t>
      </w:r>
      <w:r>
        <w:rPr>
          <w:spacing w:val="-2"/>
        </w:rPr>
        <w:t> </w:t>
      </w:r>
      <w:r>
        <w:rPr/>
        <w:t>contraceptive</w:t>
      </w:r>
      <w:r>
        <w:rPr>
          <w:spacing w:val="-2"/>
        </w:rPr>
        <w:t> </w:t>
      </w:r>
      <w:r>
        <w:rPr/>
        <w:t>behaviour</w:t>
      </w:r>
      <w:r>
        <w:rPr>
          <w:spacing w:val="-4"/>
        </w:rPr>
        <w:t> </w:t>
      </w:r>
      <w:r>
        <w:rPr/>
        <w:t>in</w:t>
      </w:r>
      <w:r>
        <w:rPr>
          <w:spacing w:val="-2"/>
        </w:rPr>
        <w:t> </w:t>
      </w:r>
      <w:r>
        <w:rPr/>
        <w:t>women</w:t>
      </w:r>
      <w:r>
        <w:rPr>
          <w:spacing w:val="-2"/>
        </w:rPr>
        <w:t> </w:t>
      </w:r>
      <w:r>
        <w:rPr/>
        <w:t>who experience unintended pregnancy? A systematic review of qualitative research. </w:t>
      </w:r>
      <w:r>
        <w:rPr>
          <w:i/>
        </w:rPr>
        <w:t>Journal of</w:t>
      </w:r>
      <w:r>
        <w:rPr>
          <w:i/>
        </w:rPr>
        <w:t> Obstetrics and Gynaecology, 9</w:t>
      </w:r>
      <w:r>
        <w:rPr/>
        <w:t>, 1-7. Retrieved from: </w:t>
      </w:r>
      <w:hyperlink r:id="rId35">
        <w:r>
          <w:rPr>
            <w:spacing w:val="-2"/>
          </w:rPr>
          <w:t>http://informahealthcare.com/doi/abs/10.3109/01443615.2014.920783</w:t>
        </w:r>
      </w:hyperlink>
    </w:p>
    <w:p>
      <w:pPr>
        <w:pStyle w:val="BodyText"/>
        <w:ind w:left="839" w:right="182" w:hanging="721"/>
      </w:pPr>
      <w:r>
        <w:rPr/>
        <w:t>Raine, T., Gard, J., Boyer, C., Haider, C., Brown, B., Hernandez, F. &amp; Harper, C. (2010). Contraceptive decision-making</w:t>
      </w:r>
      <w:r>
        <w:rPr>
          <w:spacing w:val="-6"/>
        </w:rPr>
        <w:t> </w:t>
      </w:r>
      <w:r>
        <w:rPr/>
        <w:t>in</w:t>
      </w:r>
      <w:r>
        <w:rPr>
          <w:spacing w:val="-3"/>
        </w:rPr>
        <w:t> </w:t>
      </w:r>
      <w:r>
        <w:rPr/>
        <w:t>sexual</w:t>
      </w:r>
      <w:r>
        <w:rPr>
          <w:spacing w:val="-2"/>
        </w:rPr>
        <w:t> </w:t>
      </w:r>
      <w:r>
        <w:rPr/>
        <w:t>relationships:</w:t>
      </w:r>
      <w:r>
        <w:rPr>
          <w:spacing w:val="-2"/>
        </w:rPr>
        <w:t> </w:t>
      </w:r>
      <w:r>
        <w:rPr/>
        <w:t>Young</w:t>
      </w:r>
      <w:r>
        <w:rPr>
          <w:spacing w:val="-6"/>
        </w:rPr>
        <w:t> </w:t>
      </w:r>
      <w:r>
        <w:rPr/>
        <w:t>men’s</w:t>
      </w:r>
      <w:r>
        <w:rPr>
          <w:spacing w:val="-3"/>
        </w:rPr>
        <w:t> </w:t>
      </w:r>
      <w:r>
        <w:rPr/>
        <w:t>experiences,</w:t>
      </w:r>
      <w:r>
        <w:rPr>
          <w:spacing w:val="-6"/>
        </w:rPr>
        <w:t> </w:t>
      </w:r>
      <w:r>
        <w:rPr/>
        <w:t>attitudes</w:t>
      </w:r>
      <w:r>
        <w:rPr>
          <w:spacing w:val="-3"/>
        </w:rPr>
        <w:t> </w:t>
      </w:r>
      <w:r>
        <w:rPr/>
        <w:t>and</w:t>
      </w:r>
      <w:r>
        <w:rPr>
          <w:spacing w:val="-3"/>
        </w:rPr>
        <w:t> </w:t>
      </w:r>
      <w:r>
        <w:rPr/>
        <w:t>values.</w:t>
      </w:r>
      <w:r>
        <w:rPr>
          <w:spacing w:val="-3"/>
        </w:rPr>
        <w:t> </w:t>
      </w:r>
      <w:r>
        <w:rPr>
          <w:i/>
        </w:rPr>
        <w:t>Culture,</w:t>
      </w:r>
      <w:r>
        <w:rPr>
          <w:i/>
        </w:rPr>
        <w:t> Health &amp; Sexuality, 12</w:t>
      </w:r>
      <w:r>
        <w:rPr/>
        <w:t>(4), 373-386. Retrieved from: </w:t>
      </w:r>
      <w:hyperlink r:id="rId36">
        <w:r>
          <w:rPr>
            <w:spacing w:val="-2"/>
          </w:rPr>
          <w:t>http://www.ncbi.nlm.nih.gov/pmc/articles/PMC2854868/</w:t>
        </w:r>
      </w:hyperlink>
    </w:p>
    <w:p>
      <w:pPr>
        <w:pStyle w:val="BodyText"/>
        <w:ind w:left="839" w:right="245" w:hanging="721"/>
      </w:pPr>
      <w:r>
        <w:rPr/>
        <w:t>Ryan, S., Franzetta, K., Manlove, J. &amp; Holcombe, E. (2007). Adolescents’ discussions about contraception</w:t>
      </w:r>
      <w:r>
        <w:rPr>
          <w:spacing w:val="-3"/>
        </w:rPr>
        <w:t> </w:t>
      </w:r>
      <w:r>
        <w:rPr/>
        <w:t>or</w:t>
      </w:r>
      <w:r>
        <w:rPr>
          <w:spacing w:val="-2"/>
        </w:rPr>
        <w:t> </w:t>
      </w:r>
      <w:r>
        <w:rPr/>
        <w:t>STDs</w:t>
      </w:r>
      <w:r>
        <w:rPr>
          <w:spacing w:val="-3"/>
        </w:rPr>
        <w:t> </w:t>
      </w:r>
      <w:r>
        <w:rPr/>
        <w:t>with</w:t>
      </w:r>
      <w:r>
        <w:rPr>
          <w:spacing w:val="-5"/>
        </w:rPr>
        <w:t> </w:t>
      </w:r>
      <w:r>
        <w:rPr/>
        <w:t>partners</w:t>
      </w:r>
      <w:r>
        <w:rPr>
          <w:spacing w:val="-3"/>
        </w:rPr>
        <w:t> </w:t>
      </w:r>
      <w:r>
        <w:rPr/>
        <w:t>before</w:t>
      </w:r>
      <w:r>
        <w:rPr>
          <w:spacing w:val="-3"/>
        </w:rPr>
        <w:t> </w:t>
      </w:r>
      <w:r>
        <w:rPr/>
        <w:t>first</w:t>
      </w:r>
      <w:r>
        <w:rPr>
          <w:spacing w:val="-5"/>
        </w:rPr>
        <w:t> </w:t>
      </w:r>
      <w:r>
        <w:rPr/>
        <w:t>sex.</w:t>
      </w:r>
      <w:r>
        <w:rPr>
          <w:spacing w:val="-3"/>
        </w:rPr>
        <w:t> </w:t>
      </w:r>
      <w:r>
        <w:rPr>
          <w:i/>
        </w:rPr>
        <w:t>Perspectives</w:t>
      </w:r>
      <w:r>
        <w:rPr>
          <w:i/>
          <w:spacing w:val="-3"/>
        </w:rPr>
        <w:t> </w:t>
      </w:r>
      <w:r>
        <w:rPr>
          <w:i/>
        </w:rPr>
        <w:t>on</w:t>
      </w:r>
      <w:r>
        <w:rPr>
          <w:i/>
          <w:spacing w:val="-3"/>
        </w:rPr>
        <w:t> </w:t>
      </w:r>
      <w:r>
        <w:rPr>
          <w:i/>
        </w:rPr>
        <w:t>Sexual</w:t>
      </w:r>
      <w:r>
        <w:rPr>
          <w:i/>
          <w:spacing w:val="-2"/>
        </w:rPr>
        <w:t> </w:t>
      </w:r>
      <w:r>
        <w:rPr>
          <w:i/>
        </w:rPr>
        <w:t>and</w:t>
      </w:r>
      <w:r>
        <w:rPr>
          <w:i/>
          <w:spacing w:val="-7"/>
        </w:rPr>
        <w:t> </w:t>
      </w:r>
      <w:r>
        <w:rPr>
          <w:i/>
        </w:rPr>
        <w:t>Reproductive</w:t>
      </w:r>
      <w:r>
        <w:rPr>
          <w:i/>
        </w:rPr>
        <w:t> Health, 39</w:t>
      </w:r>
      <w:r>
        <w:rPr/>
        <w:t>(3), 149-157. Retrieved from: </w:t>
      </w:r>
      <w:hyperlink r:id="rId37">
        <w:r>
          <w:rPr/>
          <w:t>http://www.ncbi.nlm.nih.gov/pubmed/17845526</w:t>
        </w:r>
      </w:hyperlink>
    </w:p>
    <w:p>
      <w:pPr>
        <w:pStyle w:val="BodyText"/>
        <w:ind w:left="839" w:right="77" w:hanging="721"/>
      </w:pPr>
      <w:r>
        <w:rPr/>
        <w:t>Shoveller,</w:t>
      </w:r>
      <w:r>
        <w:rPr>
          <w:spacing w:val="-4"/>
        </w:rPr>
        <w:t> </w:t>
      </w:r>
      <w:r>
        <w:rPr/>
        <w:t>J.,</w:t>
      </w:r>
      <w:r>
        <w:rPr>
          <w:spacing w:val="-1"/>
        </w:rPr>
        <w:t> </w:t>
      </w:r>
      <w:r>
        <w:rPr/>
        <w:t>Chabot,</w:t>
      </w:r>
      <w:r>
        <w:rPr>
          <w:spacing w:val="-1"/>
        </w:rPr>
        <w:t> </w:t>
      </w:r>
      <w:r>
        <w:rPr/>
        <w:t>C.,</w:t>
      </w:r>
      <w:r>
        <w:rPr>
          <w:spacing w:val="-1"/>
        </w:rPr>
        <w:t> </w:t>
      </w:r>
      <w:r>
        <w:rPr/>
        <w:t>Soon,</w:t>
      </w:r>
      <w:r>
        <w:rPr>
          <w:spacing w:val="-4"/>
        </w:rPr>
        <w:t> </w:t>
      </w:r>
      <w:r>
        <w:rPr/>
        <w:t>J.</w:t>
      </w:r>
      <w:r>
        <w:rPr>
          <w:spacing w:val="-1"/>
        </w:rPr>
        <w:t> </w:t>
      </w:r>
      <w:r>
        <w:rPr/>
        <w:t>&amp;</w:t>
      </w:r>
      <w:r>
        <w:rPr>
          <w:spacing w:val="-3"/>
        </w:rPr>
        <w:t> </w:t>
      </w:r>
      <w:r>
        <w:rPr/>
        <w:t>Levine,</w:t>
      </w:r>
      <w:r>
        <w:rPr>
          <w:spacing w:val="-4"/>
        </w:rPr>
        <w:t> </w:t>
      </w:r>
      <w:r>
        <w:rPr/>
        <w:t>M.</w:t>
      </w:r>
      <w:r>
        <w:rPr>
          <w:spacing w:val="-4"/>
        </w:rPr>
        <w:t> </w:t>
      </w:r>
      <w:r>
        <w:rPr/>
        <w:t>(2007).</w:t>
      </w:r>
      <w:r>
        <w:rPr>
          <w:spacing w:val="-1"/>
        </w:rPr>
        <w:t> </w:t>
      </w:r>
      <w:r>
        <w:rPr/>
        <w:t>Identifying</w:t>
      </w:r>
      <w:r>
        <w:rPr>
          <w:spacing w:val="-4"/>
        </w:rPr>
        <w:t> </w:t>
      </w:r>
      <w:r>
        <w:rPr/>
        <w:t>barriers</w:t>
      </w:r>
      <w:r>
        <w:rPr>
          <w:spacing w:val="-3"/>
        </w:rPr>
        <w:t> </w:t>
      </w:r>
      <w:r>
        <w:rPr/>
        <w:t>to</w:t>
      </w:r>
      <w:r>
        <w:rPr>
          <w:spacing w:val="-4"/>
        </w:rPr>
        <w:t> </w:t>
      </w:r>
      <w:r>
        <w:rPr/>
        <w:t>emergency</w:t>
      </w:r>
      <w:r>
        <w:rPr>
          <w:spacing w:val="-4"/>
        </w:rPr>
        <w:t> </w:t>
      </w:r>
      <w:r>
        <w:rPr/>
        <w:t>contraception use among young women from various sociocultural groups in British Columbia, Canada.</w:t>
      </w:r>
    </w:p>
    <w:p>
      <w:pPr>
        <w:spacing w:before="0"/>
        <w:ind w:left="839" w:right="0" w:firstLine="0"/>
        <w:jc w:val="left"/>
        <w:rPr>
          <w:sz w:val="22"/>
        </w:rPr>
      </w:pPr>
      <w:r>
        <w:rPr>
          <w:i/>
          <w:sz w:val="22"/>
        </w:rPr>
        <w:t>Perspectives</w:t>
      </w:r>
      <w:r>
        <w:rPr>
          <w:i/>
          <w:spacing w:val="-4"/>
          <w:sz w:val="22"/>
        </w:rPr>
        <w:t> </w:t>
      </w:r>
      <w:r>
        <w:rPr>
          <w:i/>
          <w:sz w:val="22"/>
        </w:rPr>
        <w:t>on</w:t>
      </w:r>
      <w:r>
        <w:rPr>
          <w:i/>
          <w:spacing w:val="-4"/>
          <w:sz w:val="22"/>
        </w:rPr>
        <w:t> </w:t>
      </w:r>
      <w:r>
        <w:rPr>
          <w:i/>
          <w:sz w:val="22"/>
        </w:rPr>
        <w:t>Sexual</w:t>
      </w:r>
      <w:r>
        <w:rPr>
          <w:i/>
          <w:spacing w:val="-3"/>
          <w:sz w:val="22"/>
        </w:rPr>
        <w:t> </w:t>
      </w:r>
      <w:r>
        <w:rPr>
          <w:i/>
          <w:sz w:val="22"/>
        </w:rPr>
        <w:t>and</w:t>
      </w:r>
      <w:r>
        <w:rPr>
          <w:i/>
          <w:spacing w:val="-7"/>
          <w:sz w:val="22"/>
        </w:rPr>
        <w:t> </w:t>
      </w:r>
      <w:r>
        <w:rPr>
          <w:i/>
          <w:sz w:val="22"/>
        </w:rPr>
        <w:t>Reproductive</w:t>
      </w:r>
      <w:r>
        <w:rPr>
          <w:i/>
          <w:spacing w:val="-4"/>
          <w:sz w:val="22"/>
        </w:rPr>
        <w:t> </w:t>
      </w:r>
      <w:r>
        <w:rPr>
          <w:i/>
          <w:sz w:val="22"/>
        </w:rPr>
        <w:t>Health,</w:t>
      </w:r>
      <w:r>
        <w:rPr>
          <w:i/>
          <w:spacing w:val="-5"/>
          <w:sz w:val="22"/>
        </w:rPr>
        <w:t> </w:t>
      </w:r>
      <w:r>
        <w:rPr>
          <w:i/>
          <w:sz w:val="22"/>
        </w:rPr>
        <w:t>39</w:t>
      </w:r>
      <w:r>
        <w:rPr>
          <w:sz w:val="22"/>
        </w:rPr>
        <w:t>(1),</w:t>
      </w:r>
      <w:r>
        <w:rPr>
          <w:spacing w:val="-4"/>
          <w:sz w:val="22"/>
        </w:rPr>
        <w:t> </w:t>
      </w:r>
      <w:r>
        <w:rPr>
          <w:sz w:val="22"/>
        </w:rPr>
        <w:t>502-515.</w:t>
      </w:r>
      <w:r>
        <w:rPr>
          <w:spacing w:val="-4"/>
          <w:sz w:val="22"/>
        </w:rPr>
        <w:t> </w:t>
      </w:r>
      <w:r>
        <w:rPr>
          <w:sz w:val="22"/>
        </w:rPr>
        <w:t>Retrieved</w:t>
      </w:r>
      <w:r>
        <w:rPr>
          <w:spacing w:val="-4"/>
          <w:sz w:val="22"/>
        </w:rPr>
        <w:t> </w:t>
      </w:r>
      <w:r>
        <w:rPr>
          <w:sz w:val="22"/>
        </w:rPr>
        <w:t>from: </w:t>
      </w:r>
      <w:hyperlink r:id="rId38">
        <w:r>
          <w:rPr>
            <w:spacing w:val="-2"/>
            <w:sz w:val="22"/>
          </w:rPr>
          <w:t>http://www.ncbi.nlm.nih.gov/pubmed/17355377</w:t>
        </w:r>
      </w:hyperlink>
    </w:p>
    <w:p>
      <w:pPr>
        <w:pStyle w:val="BodyText"/>
        <w:ind w:left="839" w:right="132" w:hanging="720"/>
        <w:jc w:val="both"/>
      </w:pPr>
      <w:r>
        <w:rPr/>
        <w:t>Tanjasiri, S.</w:t>
      </w:r>
      <w:r>
        <w:rPr>
          <w:spacing w:val="-1"/>
        </w:rPr>
        <w:t> </w:t>
      </w:r>
      <w:r>
        <w:rPr/>
        <w:t>P., Mouttapa,</w:t>
      </w:r>
      <w:r>
        <w:rPr>
          <w:spacing w:val="-1"/>
        </w:rPr>
        <w:t> </w:t>
      </w:r>
      <w:r>
        <w:rPr/>
        <w:t>M., Sablan-Santos, L., &amp; Quitugua, L. F.</w:t>
      </w:r>
      <w:r>
        <w:rPr>
          <w:spacing w:val="-1"/>
        </w:rPr>
        <w:t> </w:t>
      </w:r>
      <w:r>
        <w:rPr/>
        <w:t>(2012). Exploring</w:t>
      </w:r>
      <w:r>
        <w:rPr>
          <w:spacing w:val="-1"/>
        </w:rPr>
        <w:t> </w:t>
      </w:r>
      <w:r>
        <w:rPr/>
        <w:t>Factors Promoting Cervical</w:t>
      </w:r>
      <w:r>
        <w:rPr>
          <w:spacing w:val="-5"/>
        </w:rPr>
        <w:t> </w:t>
      </w:r>
      <w:r>
        <w:rPr/>
        <w:t>Cancer</w:t>
      </w:r>
      <w:r>
        <w:rPr>
          <w:spacing w:val="-2"/>
        </w:rPr>
        <w:t> </w:t>
      </w:r>
      <w:r>
        <w:rPr/>
        <w:t>Screening</w:t>
      </w:r>
      <w:r>
        <w:rPr>
          <w:spacing w:val="-8"/>
        </w:rPr>
        <w:t> </w:t>
      </w:r>
      <w:r>
        <w:rPr/>
        <w:t>among</w:t>
      </w:r>
      <w:r>
        <w:rPr>
          <w:spacing w:val="-6"/>
        </w:rPr>
        <w:t> </w:t>
      </w:r>
      <w:r>
        <w:rPr/>
        <w:t>Chamorro</w:t>
      </w:r>
      <w:r>
        <w:rPr>
          <w:spacing w:val="-3"/>
        </w:rPr>
        <w:t> </w:t>
      </w:r>
      <w:r>
        <w:rPr/>
        <w:t>Women</w:t>
      </w:r>
      <w:r>
        <w:rPr>
          <w:spacing w:val="-3"/>
        </w:rPr>
        <w:t> </w:t>
      </w:r>
      <w:r>
        <w:rPr/>
        <w:t>in</w:t>
      </w:r>
      <w:r>
        <w:rPr>
          <w:spacing w:val="-3"/>
        </w:rPr>
        <w:t> </w:t>
      </w:r>
      <w:r>
        <w:rPr/>
        <w:t>California.</w:t>
      </w:r>
      <w:r>
        <w:rPr>
          <w:spacing w:val="-3"/>
        </w:rPr>
        <w:t> </w:t>
      </w:r>
      <w:r>
        <w:rPr>
          <w:i/>
        </w:rPr>
        <w:t>Journal</w:t>
      </w:r>
      <w:r>
        <w:rPr>
          <w:i/>
          <w:spacing w:val="-2"/>
        </w:rPr>
        <w:t> </w:t>
      </w:r>
      <w:r>
        <w:rPr>
          <w:i/>
        </w:rPr>
        <w:t>of</w:t>
      </w:r>
      <w:r>
        <w:rPr>
          <w:i/>
          <w:spacing w:val="-2"/>
        </w:rPr>
        <w:t> </w:t>
      </w:r>
      <w:r>
        <w:rPr>
          <w:i/>
        </w:rPr>
        <w:t>Cancer</w:t>
      </w:r>
      <w:r>
        <w:rPr>
          <w:i/>
          <w:spacing w:val="-3"/>
        </w:rPr>
        <w:t> </w:t>
      </w:r>
      <w:r>
        <w:rPr>
          <w:i/>
        </w:rPr>
        <w:t>Education,</w:t>
      </w:r>
      <w:r>
        <w:rPr>
          <w:i/>
        </w:rPr>
        <w:t> 27</w:t>
      </w:r>
      <w:r>
        <w:rPr/>
        <w:t>(4), 725-730.</w:t>
      </w:r>
    </w:p>
    <w:p>
      <w:pPr>
        <w:pStyle w:val="BodyText"/>
        <w:ind w:left="839" w:right="145" w:hanging="721"/>
        <w:jc w:val="both"/>
      </w:pPr>
      <w:r>
        <w:rPr/>
        <w:t>Trieu,</w:t>
      </w:r>
      <w:r>
        <w:rPr>
          <w:spacing w:val="-2"/>
        </w:rPr>
        <w:t> </w:t>
      </w:r>
      <w:r>
        <w:rPr/>
        <w:t>S.,</w:t>
      </w:r>
      <w:r>
        <w:rPr>
          <w:spacing w:val="-2"/>
        </w:rPr>
        <w:t> </w:t>
      </w:r>
      <w:r>
        <w:rPr/>
        <w:t>Shenoy,</w:t>
      </w:r>
      <w:r>
        <w:rPr>
          <w:spacing w:val="-2"/>
        </w:rPr>
        <w:t> </w:t>
      </w:r>
      <w:r>
        <w:rPr/>
        <w:t>D.,</w:t>
      </w:r>
      <w:r>
        <w:rPr>
          <w:spacing w:val="-2"/>
        </w:rPr>
        <w:t> </w:t>
      </w:r>
      <w:r>
        <w:rPr/>
        <w:t>Bratton,</w:t>
      </w:r>
      <w:r>
        <w:rPr>
          <w:spacing w:val="-2"/>
        </w:rPr>
        <w:t> </w:t>
      </w:r>
      <w:r>
        <w:rPr/>
        <w:t>S.</w:t>
      </w:r>
      <w:r>
        <w:rPr>
          <w:spacing w:val="-2"/>
        </w:rPr>
        <w:t> </w:t>
      </w:r>
      <w:r>
        <w:rPr/>
        <w:t>&amp;</w:t>
      </w:r>
      <w:r>
        <w:rPr>
          <w:spacing w:val="-4"/>
        </w:rPr>
        <w:t> </w:t>
      </w:r>
      <w:r>
        <w:rPr/>
        <w:t>Marshak,</w:t>
      </w:r>
      <w:r>
        <w:rPr>
          <w:spacing w:val="-2"/>
        </w:rPr>
        <w:t> </w:t>
      </w:r>
      <w:r>
        <w:rPr/>
        <w:t>H.</w:t>
      </w:r>
      <w:r>
        <w:rPr>
          <w:spacing w:val="-2"/>
        </w:rPr>
        <w:t> </w:t>
      </w:r>
      <w:r>
        <w:rPr/>
        <w:t>(2011)</w:t>
      </w:r>
      <w:r>
        <w:rPr>
          <w:spacing w:val="-1"/>
        </w:rPr>
        <w:t> </w:t>
      </w:r>
      <w:r>
        <w:rPr/>
        <w:t>Provisions</w:t>
      </w:r>
      <w:r>
        <w:rPr>
          <w:spacing w:val="-4"/>
        </w:rPr>
        <w:t> </w:t>
      </w:r>
      <w:r>
        <w:rPr/>
        <w:t>of</w:t>
      </w:r>
      <w:r>
        <w:rPr>
          <w:spacing w:val="-4"/>
        </w:rPr>
        <w:t> </w:t>
      </w:r>
      <w:r>
        <w:rPr/>
        <w:t>emergency</w:t>
      </w:r>
      <w:r>
        <w:rPr>
          <w:spacing w:val="-2"/>
        </w:rPr>
        <w:t> </w:t>
      </w:r>
      <w:r>
        <w:rPr/>
        <w:t>contraception</w:t>
      </w:r>
      <w:r>
        <w:rPr>
          <w:spacing w:val="-5"/>
        </w:rPr>
        <w:t> </w:t>
      </w:r>
      <w:r>
        <w:rPr/>
        <w:t>at</w:t>
      </w:r>
      <w:r>
        <w:rPr>
          <w:spacing w:val="-1"/>
        </w:rPr>
        <w:t> </w:t>
      </w:r>
      <w:r>
        <w:rPr/>
        <w:t>student health centers in California Community Colleges. </w:t>
      </w:r>
      <w:r>
        <w:rPr>
          <w:i/>
        </w:rPr>
        <w:t>Women’s Health Issues, 21</w:t>
      </w:r>
      <w:r>
        <w:rPr/>
        <w:t>(6), 431-437.</w:t>
      </w:r>
    </w:p>
    <w:p>
      <w:pPr>
        <w:pStyle w:val="BodyText"/>
        <w:spacing w:line="251" w:lineRule="exact"/>
        <w:ind w:left="839"/>
        <w:jc w:val="both"/>
      </w:pPr>
      <w:r>
        <w:rPr/>
        <w:t>Retrieved</w:t>
      </w:r>
      <w:r>
        <w:rPr>
          <w:spacing w:val="-5"/>
        </w:rPr>
        <w:t> </w:t>
      </w:r>
      <w:r>
        <w:rPr/>
        <w:t>from:</w:t>
      </w:r>
      <w:r>
        <w:rPr>
          <w:spacing w:val="-4"/>
        </w:rPr>
        <w:t> </w:t>
      </w:r>
      <w:hyperlink r:id="rId39">
        <w:r>
          <w:rPr>
            <w:spacing w:val="-2"/>
          </w:rPr>
          <w:t>http://www.ncbi.nlm.nih.gov/pubmed/21703870</w:t>
        </w:r>
      </w:hyperlink>
    </w:p>
    <w:p>
      <w:pPr>
        <w:pStyle w:val="BodyText"/>
        <w:spacing w:before="1"/>
        <w:ind w:left="839" w:hanging="720"/>
      </w:pPr>
      <w:r>
        <w:rPr/>
        <w:t>Trussel,</w:t>
      </w:r>
      <w:r>
        <w:rPr>
          <w:spacing w:val="-5"/>
        </w:rPr>
        <w:t> </w:t>
      </w:r>
      <w:r>
        <w:rPr/>
        <w:t>J.,</w:t>
      </w:r>
      <w:r>
        <w:rPr>
          <w:spacing w:val="-2"/>
        </w:rPr>
        <w:t> </w:t>
      </w:r>
      <w:r>
        <w:rPr/>
        <w:t>Ellertson,</w:t>
      </w:r>
      <w:r>
        <w:rPr>
          <w:spacing w:val="-2"/>
        </w:rPr>
        <w:t> </w:t>
      </w:r>
      <w:r>
        <w:rPr/>
        <w:t>C.</w:t>
      </w:r>
      <w:r>
        <w:rPr>
          <w:spacing w:val="-2"/>
        </w:rPr>
        <w:t> </w:t>
      </w:r>
      <w:r>
        <w:rPr/>
        <w:t>&amp;</w:t>
      </w:r>
      <w:r>
        <w:rPr>
          <w:spacing w:val="-6"/>
        </w:rPr>
        <w:t> </w:t>
      </w:r>
      <w:r>
        <w:rPr/>
        <w:t>Stewart</w:t>
      </w:r>
      <w:r>
        <w:rPr>
          <w:spacing w:val="-4"/>
        </w:rPr>
        <w:t> </w:t>
      </w:r>
      <w:r>
        <w:rPr/>
        <w:t>(1996).</w:t>
      </w:r>
      <w:r>
        <w:rPr>
          <w:spacing w:val="-5"/>
        </w:rPr>
        <w:t> </w:t>
      </w:r>
      <w:r>
        <w:rPr/>
        <w:t>The</w:t>
      </w:r>
      <w:r>
        <w:rPr>
          <w:spacing w:val="-2"/>
        </w:rPr>
        <w:t> </w:t>
      </w:r>
      <w:r>
        <w:rPr/>
        <w:t>Effectiveness</w:t>
      </w:r>
      <w:r>
        <w:rPr>
          <w:spacing w:val="-2"/>
        </w:rPr>
        <w:t> </w:t>
      </w:r>
      <w:r>
        <w:rPr/>
        <w:t>of</w:t>
      </w:r>
      <w:r>
        <w:rPr>
          <w:spacing w:val="-4"/>
        </w:rPr>
        <w:t> </w:t>
      </w:r>
      <w:r>
        <w:rPr/>
        <w:t>the</w:t>
      </w:r>
      <w:r>
        <w:rPr>
          <w:spacing w:val="-2"/>
        </w:rPr>
        <w:t> </w:t>
      </w:r>
      <w:r>
        <w:rPr/>
        <w:t>Yuzpe</w:t>
      </w:r>
      <w:r>
        <w:rPr>
          <w:spacing w:val="-2"/>
        </w:rPr>
        <w:t> </w:t>
      </w:r>
      <w:r>
        <w:rPr/>
        <w:t>Regimen</w:t>
      </w:r>
      <w:r>
        <w:rPr>
          <w:spacing w:val="-2"/>
        </w:rPr>
        <w:t> </w:t>
      </w:r>
      <w:r>
        <w:rPr/>
        <w:t>of</w:t>
      </w:r>
      <w:r>
        <w:rPr>
          <w:spacing w:val="-1"/>
        </w:rPr>
        <w:t> </w:t>
      </w:r>
      <w:r>
        <w:rPr/>
        <w:t>Emergency Contraception. </w:t>
      </w:r>
      <w:r>
        <w:rPr>
          <w:i/>
        </w:rPr>
        <w:t>Family Planning Perspectives</w:t>
      </w:r>
      <w:r>
        <w:rPr/>
        <w:t>, </w:t>
      </w:r>
      <w:r>
        <w:rPr>
          <w:i/>
        </w:rPr>
        <w:t>28</w:t>
      </w:r>
      <w:r>
        <w:rPr/>
        <w:t>(2), 58-67. Retrieved from: </w:t>
      </w:r>
      <w:hyperlink r:id="rId40">
        <w:r>
          <w:rPr>
            <w:spacing w:val="-2"/>
          </w:rPr>
          <w:t>http://www.popline.org/node/296534</w:t>
        </w:r>
      </w:hyperlink>
    </w:p>
    <w:p>
      <w:pPr>
        <w:pStyle w:val="BodyText"/>
        <w:spacing w:line="252" w:lineRule="exact"/>
      </w:pPr>
      <w:r>
        <w:rPr/>
        <w:t>Trussell,</w:t>
      </w:r>
      <w:r>
        <w:rPr>
          <w:spacing w:val="-7"/>
        </w:rPr>
        <w:t> </w:t>
      </w:r>
      <w:r>
        <w:rPr/>
        <w:t>J.</w:t>
      </w:r>
      <w:r>
        <w:rPr>
          <w:spacing w:val="-7"/>
        </w:rPr>
        <w:t> </w:t>
      </w:r>
      <w:r>
        <w:rPr/>
        <w:t>(2007).</w:t>
      </w:r>
      <w:r>
        <w:rPr>
          <w:spacing w:val="-7"/>
        </w:rPr>
        <w:t> </w:t>
      </w:r>
      <w:r>
        <w:rPr/>
        <w:t>The</w:t>
      </w:r>
      <w:r>
        <w:rPr>
          <w:spacing w:val="-5"/>
        </w:rPr>
        <w:t> </w:t>
      </w:r>
      <w:r>
        <w:rPr/>
        <w:t>cost</w:t>
      </w:r>
      <w:r>
        <w:rPr>
          <w:spacing w:val="-3"/>
        </w:rPr>
        <w:t> </w:t>
      </w:r>
      <w:r>
        <w:rPr/>
        <w:t>of</w:t>
      </w:r>
      <w:r>
        <w:rPr>
          <w:spacing w:val="-3"/>
        </w:rPr>
        <w:t> </w:t>
      </w:r>
      <w:r>
        <w:rPr/>
        <w:t>unintended</w:t>
      </w:r>
      <w:r>
        <w:rPr>
          <w:spacing w:val="-4"/>
        </w:rPr>
        <w:t> </w:t>
      </w:r>
      <w:r>
        <w:rPr/>
        <w:t>pregnancy</w:t>
      </w:r>
      <w:r>
        <w:rPr>
          <w:spacing w:val="-7"/>
        </w:rPr>
        <w:t> </w:t>
      </w:r>
      <w:r>
        <w:rPr/>
        <w:t>in</w:t>
      </w:r>
      <w:r>
        <w:rPr>
          <w:spacing w:val="-5"/>
        </w:rPr>
        <w:t> </w:t>
      </w:r>
      <w:r>
        <w:rPr/>
        <w:t>the</w:t>
      </w:r>
      <w:r>
        <w:rPr>
          <w:spacing w:val="-4"/>
        </w:rPr>
        <w:t> </w:t>
      </w:r>
      <w:r>
        <w:rPr/>
        <w:t>United</w:t>
      </w:r>
      <w:r>
        <w:rPr>
          <w:spacing w:val="-4"/>
        </w:rPr>
        <w:t> </w:t>
      </w:r>
      <w:r>
        <w:rPr/>
        <w:t>States.</w:t>
      </w:r>
      <w:r>
        <w:rPr>
          <w:spacing w:val="-4"/>
        </w:rPr>
        <w:t> </w:t>
      </w:r>
      <w:r>
        <w:rPr>
          <w:i/>
        </w:rPr>
        <w:t>Contraception,</w:t>
      </w:r>
      <w:r>
        <w:rPr>
          <w:i/>
          <w:spacing w:val="-4"/>
        </w:rPr>
        <w:t> </w:t>
      </w:r>
      <w:r>
        <w:rPr>
          <w:i/>
        </w:rPr>
        <w:t>75</w:t>
      </w:r>
      <w:r>
        <w:rPr/>
        <w:t>(3):168-</w:t>
      </w:r>
      <w:r>
        <w:rPr>
          <w:spacing w:val="-5"/>
        </w:rPr>
        <w:t>70.</w:t>
      </w:r>
    </w:p>
    <w:p>
      <w:pPr>
        <w:pStyle w:val="BodyText"/>
        <w:tabs>
          <w:tab w:pos="2999" w:val="left" w:leader="none"/>
        </w:tabs>
        <w:spacing w:line="252" w:lineRule="exact"/>
        <w:ind w:left="839"/>
      </w:pPr>
      <w:r>
        <w:rPr/>
        <w:t>Retrieved</w:t>
      </w:r>
      <w:r>
        <w:rPr>
          <w:spacing w:val="-4"/>
        </w:rPr>
        <w:t> from:</w:t>
      </w:r>
      <w:r>
        <w:rPr/>
        <w:tab/>
      </w:r>
      <w:hyperlink r:id="rId41">
        <w:r>
          <w:rPr>
            <w:spacing w:val="-2"/>
          </w:rPr>
          <w:t>http://www.ncbi.nlm.nih.gov/pubmed/17303484</w:t>
        </w:r>
      </w:hyperlink>
    </w:p>
    <w:p>
      <w:pPr>
        <w:pStyle w:val="BodyText"/>
        <w:spacing w:before="2"/>
        <w:ind w:left="839" w:hanging="721"/>
      </w:pPr>
      <w:r>
        <w:rPr/>
        <w:t>U.S.</w:t>
      </w:r>
      <w:r>
        <w:rPr>
          <w:spacing w:val="-3"/>
        </w:rPr>
        <w:t> </w:t>
      </w:r>
      <w:r>
        <w:rPr/>
        <w:t>Department</w:t>
      </w:r>
      <w:r>
        <w:rPr>
          <w:spacing w:val="-2"/>
        </w:rPr>
        <w:t> </w:t>
      </w:r>
      <w:r>
        <w:rPr/>
        <w:t>of</w:t>
      </w:r>
      <w:r>
        <w:rPr>
          <w:spacing w:val="-2"/>
        </w:rPr>
        <w:t> </w:t>
      </w:r>
      <w:r>
        <w:rPr/>
        <w:t>Health</w:t>
      </w:r>
      <w:r>
        <w:rPr>
          <w:spacing w:val="-6"/>
        </w:rPr>
        <w:t> </w:t>
      </w:r>
      <w:r>
        <w:rPr/>
        <w:t>and</w:t>
      </w:r>
      <w:r>
        <w:rPr>
          <w:spacing w:val="-3"/>
        </w:rPr>
        <w:t> </w:t>
      </w:r>
      <w:r>
        <w:rPr/>
        <w:t>Human</w:t>
      </w:r>
      <w:r>
        <w:rPr>
          <w:spacing w:val="-3"/>
        </w:rPr>
        <w:t> </w:t>
      </w:r>
      <w:r>
        <w:rPr/>
        <w:t>Services</w:t>
      </w:r>
      <w:r>
        <w:rPr>
          <w:spacing w:val="-5"/>
        </w:rPr>
        <w:t> </w:t>
      </w:r>
      <w:r>
        <w:rPr/>
        <w:t>(HHS)</w:t>
      </w:r>
      <w:r>
        <w:rPr>
          <w:spacing w:val="-2"/>
        </w:rPr>
        <w:t> </w:t>
      </w:r>
      <w:r>
        <w:rPr/>
        <w:t>(2014).</w:t>
      </w:r>
      <w:r>
        <w:rPr>
          <w:spacing w:val="-3"/>
        </w:rPr>
        <w:t> </w:t>
      </w:r>
      <w:r>
        <w:rPr/>
        <w:t>Office</w:t>
      </w:r>
      <w:r>
        <w:rPr>
          <w:spacing w:val="-3"/>
        </w:rPr>
        <w:t> </w:t>
      </w:r>
      <w:r>
        <w:rPr/>
        <w:t>of</w:t>
      </w:r>
      <w:r>
        <w:rPr>
          <w:spacing w:val="-2"/>
        </w:rPr>
        <w:t> </w:t>
      </w:r>
      <w:r>
        <w:rPr/>
        <w:t>Disease</w:t>
      </w:r>
      <w:r>
        <w:rPr>
          <w:spacing w:val="-5"/>
        </w:rPr>
        <w:t> </w:t>
      </w:r>
      <w:r>
        <w:rPr/>
        <w:t>Prevention</w:t>
      </w:r>
      <w:r>
        <w:rPr>
          <w:spacing w:val="-3"/>
        </w:rPr>
        <w:t> </w:t>
      </w:r>
      <w:r>
        <w:rPr/>
        <w:t>and</w:t>
      </w:r>
      <w:r>
        <w:rPr>
          <w:spacing w:val="-3"/>
        </w:rPr>
        <w:t> </w:t>
      </w:r>
      <w:r>
        <w:rPr/>
        <w:t>Health Promotion. Healthy People 2020. Washington, DC. Retrieved from: </w:t>
      </w:r>
      <w:hyperlink r:id="rId42">
        <w:r>
          <w:rPr>
            <w:spacing w:val="-2"/>
          </w:rPr>
          <w:t>http://healthypeople.gov/2020/topicsobjectives2020/objectiveslist.aspx?topicId=13</w:t>
        </w:r>
      </w:hyperlink>
    </w:p>
    <w:p>
      <w:pPr>
        <w:pStyle w:val="BodyText"/>
        <w:ind w:left="839" w:right="77" w:hanging="721"/>
      </w:pPr>
      <w:r>
        <w:rPr/>
        <w:t>Udry,</w:t>
      </w:r>
      <w:r>
        <w:rPr>
          <w:spacing w:val="-2"/>
        </w:rPr>
        <w:t> </w:t>
      </w:r>
      <w:r>
        <w:rPr/>
        <w:t>J.</w:t>
      </w:r>
      <w:r>
        <w:rPr>
          <w:spacing w:val="-2"/>
        </w:rPr>
        <w:t> </w:t>
      </w:r>
      <w:r>
        <w:rPr/>
        <w:t>R.</w:t>
      </w:r>
      <w:r>
        <w:rPr>
          <w:spacing w:val="-5"/>
        </w:rPr>
        <w:t> </w:t>
      </w:r>
      <w:r>
        <w:rPr/>
        <w:t>(2003).</w:t>
      </w:r>
      <w:r>
        <w:rPr>
          <w:spacing w:val="-5"/>
        </w:rPr>
        <w:t> </w:t>
      </w:r>
      <w:r>
        <w:rPr/>
        <w:t>The</w:t>
      </w:r>
      <w:r>
        <w:rPr>
          <w:spacing w:val="-4"/>
        </w:rPr>
        <w:t> </w:t>
      </w:r>
      <w:r>
        <w:rPr/>
        <w:t>National</w:t>
      </w:r>
      <w:r>
        <w:rPr>
          <w:spacing w:val="-1"/>
        </w:rPr>
        <w:t> </w:t>
      </w:r>
      <w:r>
        <w:rPr/>
        <w:t>Longitudinal</w:t>
      </w:r>
      <w:r>
        <w:rPr>
          <w:spacing w:val="-1"/>
        </w:rPr>
        <w:t> </w:t>
      </w:r>
      <w:r>
        <w:rPr/>
        <w:t>Study</w:t>
      </w:r>
      <w:r>
        <w:rPr>
          <w:spacing w:val="-5"/>
        </w:rPr>
        <w:t> </w:t>
      </w:r>
      <w:r>
        <w:rPr/>
        <w:t>of</w:t>
      </w:r>
      <w:r>
        <w:rPr>
          <w:spacing w:val="-4"/>
        </w:rPr>
        <w:t> </w:t>
      </w:r>
      <w:r>
        <w:rPr/>
        <w:t>Adolescent</w:t>
      </w:r>
      <w:r>
        <w:rPr>
          <w:spacing w:val="-1"/>
        </w:rPr>
        <w:t> </w:t>
      </w:r>
      <w:r>
        <w:rPr/>
        <w:t>Health</w:t>
      </w:r>
      <w:r>
        <w:rPr>
          <w:spacing w:val="-5"/>
        </w:rPr>
        <w:t> </w:t>
      </w:r>
      <w:r>
        <w:rPr/>
        <w:t>(Add</w:t>
      </w:r>
      <w:r>
        <w:rPr>
          <w:spacing w:val="-2"/>
        </w:rPr>
        <w:t> </w:t>
      </w:r>
      <w:r>
        <w:rPr/>
        <w:t>Health),</w:t>
      </w:r>
      <w:r>
        <w:rPr>
          <w:spacing w:val="-5"/>
        </w:rPr>
        <w:t> </w:t>
      </w:r>
      <w:r>
        <w:rPr/>
        <w:t>Wave</w:t>
      </w:r>
      <w:r>
        <w:rPr>
          <w:spacing w:val="-2"/>
        </w:rPr>
        <w:t> </w:t>
      </w:r>
      <w:r>
        <w:rPr/>
        <w:t>III,</w:t>
      </w:r>
      <w:r>
        <w:rPr>
          <w:spacing w:val="-2"/>
        </w:rPr>
        <w:t> </w:t>
      </w:r>
      <w:r>
        <w:rPr/>
        <w:t>2001- 2002. Retrieved from: </w:t>
      </w:r>
      <w:hyperlink r:id="rId43">
        <w:r>
          <w:rPr/>
          <w:t>http://www.disc.wisc.edu/Codebooks/qg-067-002.pdf</w:t>
        </w:r>
      </w:hyperlink>
    </w:p>
    <w:p>
      <w:pPr>
        <w:pStyle w:val="BodyText"/>
        <w:ind w:left="838" w:hanging="720"/>
      </w:pPr>
      <w:r>
        <w:rPr/>
        <w:t>Vahratian,</w:t>
      </w:r>
      <w:r>
        <w:rPr>
          <w:spacing w:val="-2"/>
        </w:rPr>
        <w:t> </w:t>
      </w:r>
      <w:r>
        <w:rPr/>
        <w:t>A.,</w:t>
      </w:r>
      <w:r>
        <w:rPr>
          <w:spacing w:val="-2"/>
        </w:rPr>
        <w:t> </w:t>
      </w:r>
      <w:r>
        <w:rPr/>
        <w:t>Patel,</w:t>
      </w:r>
      <w:r>
        <w:rPr>
          <w:spacing w:val="-2"/>
        </w:rPr>
        <w:t> </w:t>
      </w:r>
      <w:r>
        <w:rPr/>
        <w:t>D.</w:t>
      </w:r>
      <w:r>
        <w:rPr>
          <w:spacing w:val="-2"/>
        </w:rPr>
        <w:t> </w:t>
      </w:r>
      <w:r>
        <w:rPr/>
        <w:t>A.,</w:t>
      </w:r>
      <w:r>
        <w:rPr>
          <w:spacing w:val="-5"/>
        </w:rPr>
        <w:t> </w:t>
      </w:r>
      <w:r>
        <w:rPr/>
        <w:t>Wolff,</w:t>
      </w:r>
      <w:r>
        <w:rPr>
          <w:spacing w:val="-5"/>
        </w:rPr>
        <w:t> </w:t>
      </w:r>
      <w:r>
        <w:rPr/>
        <w:t>K.,</w:t>
      </w:r>
      <w:r>
        <w:rPr>
          <w:spacing w:val="-2"/>
        </w:rPr>
        <w:t> </w:t>
      </w:r>
      <w:r>
        <w:rPr/>
        <w:t>&amp;</w:t>
      </w:r>
      <w:r>
        <w:rPr>
          <w:spacing w:val="-6"/>
        </w:rPr>
        <w:t> </w:t>
      </w:r>
      <w:r>
        <w:rPr/>
        <w:t>Xu,</w:t>
      </w:r>
      <w:r>
        <w:rPr>
          <w:spacing w:val="-5"/>
        </w:rPr>
        <w:t> </w:t>
      </w:r>
      <w:r>
        <w:rPr/>
        <w:t>X.</w:t>
      </w:r>
      <w:r>
        <w:rPr>
          <w:spacing w:val="-5"/>
        </w:rPr>
        <w:t> </w:t>
      </w:r>
      <w:r>
        <w:rPr/>
        <w:t>(2008).</w:t>
      </w:r>
      <w:r>
        <w:rPr>
          <w:spacing w:val="-2"/>
        </w:rPr>
        <w:t> </w:t>
      </w:r>
      <w:r>
        <w:rPr/>
        <w:t>College</w:t>
      </w:r>
      <w:r>
        <w:rPr>
          <w:spacing w:val="-2"/>
        </w:rPr>
        <w:t> </w:t>
      </w:r>
      <w:r>
        <w:rPr/>
        <w:t>Students’</w:t>
      </w:r>
      <w:r>
        <w:rPr>
          <w:spacing w:val="-1"/>
        </w:rPr>
        <w:t> </w:t>
      </w:r>
      <w:r>
        <w:rPr/>
        <w:t>Perceptions</w:t>
      </w:r>
      <w:r>
        <w:rPr>
          <w:spacing w:val="-2"/>
        </w:rPr>
        <w:t> </w:t>
      </w:r>
      <w:r>
        <w:rPr/>
        <w:t>of</w:t>
      </w:r>
      <w:r>
        <w:rPr>
          <w:spacing w:val="-1"/>
        </w:rPr>
        <w:t> </w:t>
      </w:r>
      <w:r>
        <w:rPr/>
        <w:t>Emergency Contraception Provision. </w:t>
      </w:r>
      <w:r>
        <w:rPr>
          <w:i/>
        </w:rPr>
        <w:t>Journal of Women's Health, 17</w:t>
      </w:r>
      <w:r>
        <w:rPr/>
        <w:t>(1), 103-111. Retrieved from: </w:t>
      </w:r>
      <w:hyperlink r:id="rId44">
        <w:r>
          <w:rPr>
            <w:spacing w:val="-2"/>
          </w:rPr>
          <w:t>http://www.ncbi.nlm.nih.gov/pmc/articles/PMC2635885/</w:t>
        </w:r>
      </w:hyperlink>
    </w:p>
    <w:p>
      <w:pPr>
        <w:pStyle w:val="BodyText"/>
        <w:ind w:left="838" w:right="243" w:hanging="721"/>
      </w:pPr>
      <w:r>
        <w:rPr/>
        <w:t>Whitley,</w:t>
      </w:r>
      <w:r>
        <w:rPr>
          <w:spacing w:val="-3"/>
        </w:rPr>
        <w:t> </w:t>
      </w:r>
      <w:r>
        <w:rPr/>
        <w:t>B.</w:t>
      </w:r>
      <w:r>
        <w:rPr>
          <w:spacing w:val="-3"/>
        </w:rPr>
        <w:t> </w:t>
      </w:r>
      <w:r>
        <w:rPr/>
        <w:t>(1990).</w:t>
      </w:r>
      <w:r>
        <w:rPr>
          <w:spacing w:val="-3"/>
        </w:rPr>
        <w:t> </w:t>
      </w:r>
      <w:r>
        <w:rPr/>
        <w:t>College</w:t>
      </w:r>
      <w:r>
        <w:rPr>
          <w:spacing w:val="-5"/>
        </w:rPr>
        <w:t> </w:t>
      </w:r>
      <w:r>
        <w:rPr/>
        <w:t>student</w:t>
      </w:r>
      <w:r>
        <w:rPr>
          <w:spacing w:val="-5"/>
        </w:rPr>
        <w:t> </w:t>
      </w:r>
      <w:r>
        <w:rPr/>
        <w:t>contraceptive</w:t>
      </w:r>
      <w:r>
        <w:rPr>
          <w:spacing w:val="-3"/>
        </w:rPr>
        <w:t> </w:t>
      </w:r>
      <w:r>
        <w:rPr/>
        <w:t>use:</w:t>
      </w:r>
      <w:r>
        <w:rPr>
          <w:spacing w:val="-5"/>
        </w:rPr>
        <w:t> </w:t>
      </w:r>
      <w:r>
        <w:rPr/>
        <w:t>A</w:t>
      </w:r>
      <w:r>
        <w:rPr>
          <w:spacing w:val="-4"/>
        </w:rPr>
        <w:t> </w:t>
      </w:r>
      <w:r>
        <w:rPr/>
        <w:t>multivariate</w:t>
      </w:r>
      <w:r>
        <w:rPr>
          <w:spacing w:val="-3"/>
        </w:rPr>
        <w:t> </w:t>
      </w:r>
      <w:r>
        <w:rPr/>
        <w:t>analysis.</w:t>
      </w:r>
      <w:r>
        <w:rPr>
          <w:spacing w:val="-3"/>
        </w:rPr>
        <w:t> </w:t>
      </w:r>
      <w:r>
        <w:rPr>
          <w:i/>
        </w:rPr>
        <w:t>The</w:t>
      </w:r>
      <w:r>
        <w:rPr>
          <w:i/>
          <w:spacing w:val="-3"/>
        </w:rPr>
        <w:t> </w:t>
      </w:r>
      <w:r>
        <w:rPr>
          <w:i/>
        </w:rPr>
        <w:t>Journal</w:t>
      </w:r>
      <w:r>
        <w:rPr>
          <w:i/>
          <w:spacing w:val="-2"/>
        </w:rPr>
        <w:t> </w:t>
      </w:r>
      <w:r>
        <w:rPr>
          <w:i/>
        </w:rPr>
        <w:t>of</w:t>
      </w:r>
      <w:r>
        <w:rPr>
          <w:i/>
          <w:spacing w:val="-2"/>
        </w:rPr>
        <w:t> </w:t>
      </w:r>
      <w:r>
        <w:rPr>
          <w:i/>
        </w:rPr>
        <w:t>Sex</w:t>
      </w:r>
      <w:r>
        <w:rPr>
          <w:i/>
        </w:rPr>
        <w:t> Research, 27</w:t>
      </w:r>
      <w:r>
        <w:rPr/>
        <w:t>(2), 305-313. Retrieved from: </w:t>
      </w:r>
      <w:hyperlink r:id="rId45">
        <w:r>
          <w:rPr/>
          <w:t>http://www.popline.org/node/377213</w:t>
        </w:r>
      </w:hyperlink>
    </w:p>
    <w:p>
      <w:pPr>
        <w:pStyle w:val="BodyText"/>
        <w:ind w:left="838" w:right="77" w:hanging="721"/>
      </w:pPr>
      <w:r>
        <w:rPr/>
        <w:t>Whittaker,</w:t>
      </w:r>
      <w:r>
        <w:rPr>
          <w:spacing w:val="-2"/>
        </w:rPr>
        <w:t> </w:t>
      </w:r>
      <w:r>
        <w:rPr/>
        <w:t>P.,</w:t>
      </w:r>
      <w:r>
        <w:rPr>
          <w:spacing w:val="-2"/>
        </w:rPr>
        <w:t> </w:t>
      </w:r>
      <w:r>
        <w:rPr/>
        <w:t>Berger,</w:t>
      </w:r>
      <w:r>
        <w:rPr>
          <w:spacing w:val="-2"/>
        </w:rPr>
        <w:t> </w:t>
      </w:r>
      <w:r>
        <w:rPr/>
        <w:t>M.,</w:t>
      </w:r>
      <w:r>
        <w:rPr>
          <w:spacing w:val="-5"/>
        </w:rPr>
        <w:t> </w:t>
      </w:r>
      <w:r>
        <w:rPr/>
        <w:t>Armstrong,</w:t>
      </w:r>
      <w:r>
        <w:rPr>
          <w:spacing w:val="-2"/>
        </w:rPr>
        <w:t> </w:t>
      </w:r>
      <w:r>
        <w:rPr/>
        <w:t>K.</w:t>
      </w:r>
      <w:r>
        <w:rPr>
          <w:spacing w:val="-2"/>
        </w:rPr>
        <w:t> </w:t>
      </w:r>
      <w:r>
        <w:rPr/>
        <w:t>Felice,</w:t>
      </w:r>
      <w:r>
        <w:rPr>
          <w:spacing w:val="-5"/>
        </w:rPr>
        <w:t> </w:t>
      </w:r>
      <w:r>
        <w:rPr/>
        <w:t>T.L.,</w:t>
      </w:r>
      <w:r>
        <w:rPr>
          <w:spacing w:val="-5"/>
        </w:rPr>
        <w:t> </w:t>
      </w:r>
      <w:r>
        <w:rPr/>
        <w:t>&amp;</w:t>
      </w:r>
      <w:r>
        <w:rPr>
          <w:spacing w:val="-4"/>
        </w:rPr>
        <w:t> </w:t>
      </w:r>
      <w:r>
        <w:rPr/>
        <w:t>Adams,</w:t>
      </w:r>
      <w:r>
        <w:rPr>
          <w:spacing w:val="-2"/>
        </w:rPr>
        <w:t> </w:t>
      </w:r>
      <w:r>
        <w:rPr/>
        <w:t>J.</w:t>
      </w:r>
      <w:r>
        <w:rPr>
          <w:spacing w:val="-2"/>
        </w:rPr>
        <w:t> </w:t>
      </w:r>
      <w:r>
        <w:rPr/>
        <w:t>(2007)</w:t>
      </w:r>
      <w:r>
        <w:rPr>
          <w:spacing w:val="-1"/>
        </w:rPr>
        <w:t> </w:t>
      </w:r>
      <w:r>
        <w:rPr/>
        <w:t>Characteristics</w:t>
      </w:r>
      <w:r>
        <w:rPr>
          <w:spacing w:val="-4"/>
        </w:rPr>
        <w:t> </w:t>
      </w:r>
      <w:r>
        <w:rPr/>
        <w:t>associated</w:t>
      </w:r>
      <w:r>
        <w:rPr>
          <w:spacing w:val="-2"/>
        </w:rPr>
        <w:t> </w:t>
      </w:r>
      <w:r>
        <w:rPr/>
        <w:t>with emergency contraception use by family planning patients: A prospective cohort study.</w:t>
      </w:r>
    </w:p>
    <w:p>
      <w:pPr>
        <w:spacing w:before="0"/>
        <w:ind w:left="838" w:right="0" w:firstLine="0"/>
        <w:jc w:val="left"/>
        <w:rPr>
          <w:sz w:val="22"/>
        </w:rPr>
      </w:pPr>
      <w:r>
        <w:rPr>
          <w:i/>
          <w:sz w:val="22"/>
        </w:rPr>
        <w:t>Perspectives</w:t>
      </w:r>
      <w:r>
        <w:rPr>
          <w:i/>
          <w:spacing w:val="-4"/>
          <w:sz w:val="22"/>
        </w:rPr>
        <w:t> </w:t>
      </w:r>
      <w:r>
        <w:rPr>
          <w:i/>
          <w:sz w:val="22"/>
        </w:rPr>
        <w:t>on</w:t>
      </w:r>
      <w:r>
        <w:rPr>
          <w:i/>
          <w:spacing w:val="-4"/>
          <w:sz w:val="22"/>
        </w:rPr>
        <w:t> </w:t>
      </w:r>
      <w:r>
        <w:rPr>
          <w:i/>
          <w:sz w:val="22"/>
        </w:rPr>
        <w:t>Sexual</w:t>
      </w:r>
      <w:r>
        <w:rPr>
          <w:i/>
          <w:spacing w:val="-3"/>
          <w:sz w:val="22"/>
        </w:rPr>
        <w:t> </w:t>
      </w:r>
      <w:r>
        <w:rPr>
          <w:i/>
          <w:sz w:val="22"/>
        </w:rPr>
        <w:t>and</w:t>
      </w:r>
      <w:r>
        <w:rPr>
          <w:i/>
          <w:spacing w:val="-7"/>
          <w:sz w:val="22"/>
        </w:rPr>
        <w:t> </w:t>
      </w:r>
      <w:r>
        <w:rPr>
          <w:i/>
          <w:sz w:val="22"/>
        </w:rPr>
        <w:t>Reproductive</w:t>
      </w:r>
      <w:r>
        <w:rPr>
          <w:i/>
          <w:spacing w:val="-4"/>
          <w:sz w:val="22"/>
        </w:rPr>
        <w:t> </w:t>
      </w:r>
      <w:r>
        <w:rPr>
          <w:i/>
          <w:sz w:val="22"/>
        </w:rPr>
        <w:t>Health,</w:t>
      </w:r>
      <w:r>
        <w:rPr>
          <w:i/>
          <w:spacing w:val="-4"/>
          <w:sz w:val="22"/>
        </w:rPr>
        <w:t> </w:t>
      </w:r>
      <w:r>
        <w:rPr>
          <w:i/>
          <w:sz w:val="22"/>
        </w:rPr>
        <w:t>39</w:t>
      </w:r>
      <w:r>
        <w:rPr>
          <w:sz w:val="22"/>
        </w:rPr>
        <w:t>(3),</w:t>
      </w:r>
      <w:r>
        <w:rPr>
          <w:spacing w:val="-4"/>
          <w:sz w:val="22"/>
        </w:rPr>
        <w:t> </w:t>
      </w:r>
      <w:r>
        <w:rPr>
          <w:sz w:val="22"/>
        </w:rPr>
        <w:t>158-166.</w:t>
      </w:r>
      <w:r>
        <w:rPr>
          <w:spacing w:val="-4"/>
          <w:sz w:val="22"/>
        </w:rPr>
        <w:t> </w:t>
      </w:r>
      <w:r>
        <w:rPr>
          <w:sz w:val="22"/>
        </w:rPr>
        <w:t>Retrieved</w:t>
      </w:r>
      <w:r>
        <w:rPr>
          <w:spacing w:val="-4"/>
          <w:sz w:val="22"/>
        </w:rPr>
        <w:t> </w:t>
      </w:r>
      <w:r>
        <w:rPr>
          <w:sz w:val="22"/>
        </w:rPr>
        <w:t>from: </w:t>
      </w:r>
      <w:hyperlink r:id="rId46">
        <w:r>
          <w:rPr>
            <w:spacing w:val="-2"/>
            <w:sz w:val="22"/>
          </w:rPr>
          <w:t>http://www.ncbi.nlm.nih.gov/pubmed/17845527</w:t>
        </w:r>
      </w:hyperlink>
    </w:p>
    <w:p>
      <w:pPr>
        <w:pStyle w:val="BodyText"/>
        <w:ind w:left="839" w:hanging="721"/>
      </w:pPr>
      <w:r>
        <w:rPr/>
        <w:t>Wu,</w:t>
      </w:r>
      <w:r>
        <w:rPr>
          <w:spacing w:val="-5"/>
        </w:rPr>
        <w:t> </w:t>
      </w:r>
      <w:r>
        <w:rPr/>
        <w:t>J.,</w:t>
      </w:r>
      <w:r>
        <w:rPr>
          <w:spacing w:val="-5"/>
        </w:rPr>
        <w:t> </w:t>
      </w:r>
      <w:r>
        <w:rPr/>
        <w:t>Meldrum,</w:t>
      </w:r>
      <w:r>
        <w:rPr>
          <w:spacing w:val="-2"/>
        </w:rPr>
        <w:t> </w:t>
      </w:r>
      <w:r>
        <w:rPr/>
        <w:t>S.,</w:t>
      </w:r>
      <w:r>
        <w:rPr>
          <w:spacing w:val="-2"/>
        </w:rPr>
        <w:t> </w:t>
      </w:r>
      <w:r>
        <w:rPr/>
        <w:t>Dozier,</w:t>
      </w:r>
      <w:r>
        <w:rPr>
          <w:spacing w:val="-2"/>
        </w:rPr>
        <w:t> </w:t>
      </w:r>
      <w:r>
        <w:rPr/>
        <w:t>A.,</w:t>
      </w:r>
      <w:r>
        <w:rPr>
          <w:spacing w:val="-2"/>
        </w:rPr>
        <w:t> </w:t>
      </w:r>
      <w:r>
        <w:rPr/>
        <w:t>Stanwood,</w:t>
      </w:r>
      <w:r>
        <w:rPr>
          <w:spacing w:val="-2"/>
        </w:rPr>
        <w:t> </w:t>
      </w:r>
      <w:r>
        <w:rPr/>
        <w:t>N.</w:t>
      </w:r>
      <w:r>
        <w:rPr>
          <w:spacing w:val="-2"/>
        </w:rPr>
        <w:t> </w:t>
      </w:r>
      <w:r>
        <w:rPr/>
        <w:t>&amp;</w:t>
      </w:r>
      <w:r>
        <w:rPr>
          <w:spacing w:val="-4"/>
        </w:rPr>
        <w:t> </w:t>
      </w:r>
      <w:r>
        <w:rPr/>
        <w:t>Fiscella,</w:t>
      </w:r>
      <w:r>
        <w:rPr>
          <w:spacing w:val="-5"/>
        </w:rPr>
        <w:t> </w:t>
      </w:r>
      <w:r>
        <w:rPr/>
        <w:t>K.</w:t>
      </w:r>
      <w:r>
        <w:rPr>
          <w:spacing w:val="-2"/>
        </w:rPr>
        <w:t> </w:t>
      </w:r>
      <w:r>
        <w:rPr/>
        <w:t>(2008).</w:t>
      </w:r>
      <w:r>
        <w:rPr>
          <w:spacing w:val="-5"/>
        </w:rPr>
        <w:t> </w:t>
      </w:r>
      <w:r>
        <w:rPr/>
        <w:t>Contraceptive</w:t>
      </w:r>
      <w:r>
        <w:rPr>
          <w:spacing w:val="-2"/>
        </w:rPr>
        <w:t> </w:t>
      </w:r>
      <w:r>
        <w:rPr/>
        <w:t>nonuse</w:t>
      </w:r>
      <w:r>
        <w:rPr>
          <w:spacing w:val="-2"/>
        </w:rPr>
        <w:t> </w:t>
      </w:r>
      <w:r>
        <w:rPr/>
        <w:t>among</w:t>
      </w:r>
      <w:r>
        <w:rPr>
          <w:spacing w:val="-5"/>
        </w:rPr>
        <w:t> </w:t>
      </w:r>
      <w:r>
        <w:rPr/>
        <w:t>U.S. women at risk for unplanned pregnancy. </w:t>
      </w:r>
      <w:r>
        <w:rPr>
          <w:i/>
        </w:rPr>
        <w:t>Contraception, 78</w:t>
      </w:r>
      <w:r>
        <w:rPr/>
        <w:t>(4), 284-289. Retrieved from:</w:t>
      </w:r>
    </w:p>
    <w:p>
      <w:pPr>
        <w:pStyle w:val="BodyText"/>
        <w:spacing w:line="251" w:lineRule="exact"/>
        <w:ind w:left="1559"/>
      </w:pPr>
      <w:hyperlink r:id="rId47">
        <w:r>
          <w:rPr>
            <w:spacing w:val="-2"/>
          </w:rPr>
          <w:t>http://www.contraceptionjournal.org/article/S0010-7824(08)00323-5/abstract</w:t>
        </w:r>
      </w:hyperlink>
    </w:p>
    <w:p>
      <w:pPr>
        <w:spacing w:after="0" w:line="251" w:lineRule="exact"/>
        <w:sectPr>
          <w:pgSz w:w="12240" w:h="15840"/>
          <w:pgMar w:header="699" w:footer="794" w:top="1340" w:bottom="980" w:left="1320" w:right="1320"/>
        </w:sectPr>
      </w:pPr>
    </w:p>
    <w:p>
      <w:pPr>
        <w:pStyle w:val="BodyText"/>
        <w:spacing w:before="83"/>
        <w:ind w:left="0"/>
      </w:pPr>
    </w:p>
    <w:p>
      <w:pPr>
        <w:pStyle w:val="BodyText"/>
        <w:ind w:left="3827"/>
      </w:pPr>
      <w:bookmarkStart w:name="Author Information" w:id="2"/>
      <w:bookmarkEnd w:id="2"/>
      <w:r>
        <w:rPr/>
      </w:r>
      <w:r>
        <w:rPr>
          <w:u w:val="single"/>
        </w:rPr>
        <w:t>Author </w:t>
      </w:r>
      <w:r>
        <w:rPr>
          <w:spacing w:val="-2"/>
          <w:u w:val="single"/>
        </w:rPr>
        <w:t>Information</w:t>
      </w:r>
    </w:p>
    <w:p>
      <w:pPr>
        <w:pStyle w:val="BodyText"/>
        <w:spacing w:before="1"/>
        <w:ind w:left="3827" w:right="2243"/>
      </w:pPr>
      <w:r>
        <w:rPr/>
        <w:t>Veronica Fitzpatrick, MPH, CHES Department of Health Science California</w:t>
      </w:r>
      <w:r>
        <w:rPr>
          <w:spacing w:val="-12"/>
        </w:rPr>
        <w:t> </w:t>
      </w:r>
      <w:r>
        <w:rPr/>
        <w:t>State</w:t>
      </w:r>
      <w:r>
        <w:rPr>
          <w:spacing w:val="-12"/>
        </w:rPr>
        <w:t> </w:t>
      </w:r>
      <w:r>
        <w:rPr/>
        <w:t>University,</w:t>
      </w:r>
      <w:r>
        <w:rPr>
          <w:spacing w:val="-12"/>
        </w:rPr>
        <w:t> </w:t>
      </w:r>
      <w:r>
        <w:rPr/>
        <w:t>Fullerton</w:t>
      </w:r>
    </w:p>
    <w:p>
      <w:pPr>
        <w:pStyle w:val="BodyText"/>
        <w:spacing w:before="252"/>
        <w:ind w:left="3827"/>
      </w:pPr>
      <w:r>
        <w:rPr/>
        <w:t>*Michele</w:t>
      </w:r>
      <w:r>
        <w:rPr>
          <w:spacing w:val="-3"/>
        </w:rPr>
        <w:t> </w:t>
      </w:r>
      <w:r>
        <w:rPr>
          <w:spacing w:val="-2"/>
        </w:rPr>
        <w:t>Mouttapa</w:t>
      </w:r>
    </w:p>
    <w:p>
      <w:pPr>
        <w:pStyle w:val="BodyText"/>
        <w:spacing w:before="1"/>
        <w:ind w:left="3827" w:right="2243"/>
      </w:pPr>
      <w:r>
        <w:rPr/>
        <w:t>California</w:t>
      </w:r>
      <w:r>
        <w:rPr>
          <w:spacing w:val="-12"/>
        </w:rPr>
        <w:t> </w:t>
      </w:r>
      <w:r>
        <w:rPr/>
        <w:t>State</w:t>
      </w:r>
      <w:r>
        <w:rPr>
          <w:spacing w:val="-12"/>
        </w:rPr>
        <w:t> </w:t>
      </w:r>
      <w:r>
        <w:rPr/>
        <w:t>University,</w:t>
      </w:r>
      <w:r>
        <w:rPr>
          <w:spacing w:val="-12"/>
        </w:rPr>
        <w:t> </w:t>
      </w:r>
      <w:r>
        <w:rPr/>
        <w:t>Fullerton Department of Health Science</w:t>
      </w:r>
    </w:p>
    <w:p>
      <w:pPr>
        <w:pStyle w:val="BodyText"/>
        <w:ind w:left="3827" w:right="2621"/>
      </w:pPr>
      <w:r>
        <w:rPr/>
        <w:t>PO</w:t>
      </w:r>
      <w:r>
        <w:rPr>
          <w:spacing w:val="-6"/>
        </w:rPr>
        <w:t> </w:t>
      </w:r>
      <w:r>
        <w:rPr/>
        <w:t>Box</w:t>
      </w:r>
      <w:r>
        <w:rPr>
          <w:spacing w:val="-5"/>
        </w:rPr>
        <w:t> </w:t>
      </w:r>
      <w:r>
        <w:rPr/>
        <w:t>6870,</w:t>
      </w:r>
      <w:r>
        <w:rPr>
          <w:spacing w:val="-5"/>
        </w:rPr>
        <w:t> </w:t>
      </w:r>
      <w:r>
        <w:rPr/>
        <w:t>Fullerton,</w:t>
      </w:r>
      <w:r>
        <w:rPr>
          <w:spacing w:val="-5"/>
        </w:rPr>
        <w:t> </w:t>
      </w:r>
      <w:r>
        <w:rPr/>
        <w:t>CA</w:t>
      </w:r>
      <w:r>
        <w:rPr>
          <w:spacing w:val="-6"/>
        </w:rPr>
        <w:t> </w:t>
      </w:r>
      <w:r>
        <w:rPr/>
        <w:t>92834 E-mail:</w:t>
      </w:r>
      <w:r>
        <w:rPr>
          <w:spacing w:val="-4"/>
        </w:rPr>
        <w:t> </w:t>
      </w:r>
      <w:hyperlink r:id="rId48">
        <w:r>
          <w:rPr>
            <w:color w:val="0000FF"/>
            <w:u w:val="single" w:color="0000FF"/>
          </w:rPr>
          <w:t>mmouttapa@</w:t>
        </w:r>
        <w:r>
          <w:rPr>
            <w:color w:val="0000FF"/>
            <w:spacing w:val="-5"/>
            <w:u w:val="single" w:color="0000FF"/>
          </w:rPr>
          <w:t> </w:t>
        </w:r>
        <w:r>
          <w:rPr>
            <w:color w:val="0000FF"/>
            <w:spacing w:val="-2"/>
            <w:u w:val="single" w:color="0000FF"/>
          </w:rPr>
          <w:t>fullerton.edu</w:t>
        </w:r>
        <w:r>
          <w:rPr>
            <w:spacing w:val="-2"/>
            <w:u w:val="none"/>
          </w:rPr>
          <w:t>.</w:t>
        </w:r>
      </w:hyperlink>
    </w:p>
    <w:p>
      <w:pPr>
        <w:pStyle w:val="BodyText"/>
        <w:ind w:left="0"/>
      </w:pPr>
    </w:p>
    <w:p>
      <w:pPr>
        <w:pStyle w:val="BodyText"/>
        <w:ind w:left="3827" w:right="2243"/>
      </w:pPr>
      <w:r>
        <w:rPr/>
        <w:t>Sora Park Tanjasiri, DrPH, MPH Department of Health Science California</w:t>
      </w:r>
      <w:r>
        <w:rPr>
          <w:spacing w:val="-12"/>
        </w:rPr>
        <w:t> </w:t>
      </w:r>
      <w:r>
        <w:rPr/>
        <w:t>State</w:t>
      </w:r>
      <w:r>
        <w:rPr>
          <w:spacing w:val="-12"/>
        </w:rPr>
        <w:t> </w:t>
      </w:r>
      <w:r>
        <w:rPr/>
        <w:t>University,</w:t>
      </w:r>
      <w:r>
        <w:rPr>
          <w:spacing w:val="-12"/>
        </w:rPr>
        <w:t> </w:t>
      </w:r>
      <w:r>
        <w:rPr/>
        <w:t>Fullerton</w:t>
      </w:r>
    </w:p>
    <w:p>
      <w:pPr>
        <w:pStyle w:val="BodyText"/>
        <w:spacing w:before="1"/>
        <w:ind w:left="0"/>
      </w:pPr>
    </w:p>
    <w:p>
      <w:pPr>
        <w:pStyle w:val="BodyText"/>
        <w:ind w:left="3827" w:right="2732"/>
      </w:pPr>
      <w:r>
        <w:rPr/>
        <w:t>James Napoli, MPH(c) Department</w:t>
      </w:r>
      <w:r>
        <w:rPr>
          <w:spacing w:val="-12"/>
        </w:rPr>
        <w:t> </w:t>
      </w:r>
      <w:r>
        <w:rPr/>
        <w:t>of</w:t>
      </w:r>
      <w:r>
        <w:rPr>
          <w:spacing w:val="-12"/>
        </w:rPr>
        <w:t> </w:t>
      </w:r>
      <w:r>
        <w:rPr/>
        <w:t>Health</w:t>
      </w:r>
      <w:r>
        <w:rPr>
          <w:spacing w:val="-12"/>
        </w:rPr>
        <w:t> </w:t>
      </w:r>
      <w:r>
        <w:rPr/>
        <w:t>Science</w:t>
      </w:r>
    </w:p>
    <w:p>
      <w:pPr>
        <w:pStyle w:val="BodyText"/>
        <w:spacing w:line="251" w:lineRule="exact"/>
        <w:ind w:left="3827"/>
      </w:pPr>
      <w:r>
        <w:rPr/>
        <w:t>California</w:t>
      </w:r>
      <w:r>
        <w:rPr>
          <w:spacing w:val="-6"/>
        </w:rPr>
        <w:t> </w:t>
      </w:r>
      <w:r>
        <w:rPr/>
        <w:t>State</w:t>
      </w:r>
      <w:r>
        <w:rPr>
          <w:spacing w:val="-6"/>
        </w:rPr>
        <w:t> </w:t>
      </w:r>
      <w:r>
        <w:rPr/>
        <w:t>University,</w:t>
      </w:r>
      <w:r>
        <w:rPr>
          <w:spacing w:val="-6"/>
        </w:rPr>
        <w:t> </w:t>
      </w:r>
      <w:r>
        <w:rPr>
          <w:spacing w:val="-2"/>
        </w:rPr>
        <w:t>Fullerton</w:t>
      </w:r>
    </w:p>
    <w:p>
      <w:pPr>
        <w:pStyle w:val="BodyText"/>
        <w:ind w:left="0"/>
      </w:pPr>
    </w:p>
    <w:p>
      <w:pPr>
        <w:pStyle w:val="BodyText"/>
        <w:spacing w:before="1"/>
        <w:ind w:left="3827"/>
      </w:pPr>
      <w:r>
        <w:rPr/>
        <w:t>*</w:t>
      </w:r>
      <w:r>
        <w:rPr>
          <w:spacing w:val="-4"/>
        </w:rPr>
        <w:t> </w:t>
      </w:r>
      <w:r>
        <w:rPr/>
        <w:t>corresponding</w:t>
      </w:r>
      <w:r>
        <w:rPr>
          <w:spacing w:val="-6"/>
        </w:rPr>
        <w:t> </w:t>
      </w:r>
      <w:r>
        <w:rPr>
          <w:spacing w:val="-2"/>
        </w:rPr>
        <w:t>author</w:t>
      </w:r>
    </w:p>
    <w:sectPr>
      <w:pgSz w:w="12240" w:h="15840"/>
      <w:pgMar w:header="699" w:footer="794" w:top="1340" w:bottom="980" w:left="132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mc:AlternateContent>
        <mc:Choice Requires="wps">
          <w:drawing>
            <wp:anchor distT="0" distB="0" distL="0" distR="0" allowOverlap="1" layoutInCell="1" locked="0" behindDoc="1" simplePos="0" relativeHeight="487199232">
              <wp:simplePos x="0" y="0"/>
              <wp:positionH relativeFrom="page">
                <wp:posOffset>3777996</wp:posOffset>
              </wp:positionH>
              <wp:positionV relativeFrom="page">
                <wp:posOffset>9414790</wp:posOffset>
              </wp:positionV>
              <wp:extent cx="229235" cy="18097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29235" cy="180975"/>
                      </a:xfrm>
                      <a:prstGeom prst="rect">
                        <a:avLst/>
                      </a:prstGeom>
                    </wps:spPr>
                    <wps:txbx>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78</w:t>
                          </w:r>
                          <w:r>
                            <w:rPr>
                              <w:spacing w:val="-5"/>
                            </w:rPr>
                            <w:fldChar w:fldCharType="end"/>
                          </w:r>
                        </w:p>
                      </w:txbxContent>
                    </wps:txbx>
                    <wps:bodyPr wrap="square" lIns="0" tIns="0" rIns="0" bIns="0" rtlCol="0">
                      <a:noAutofit/>
                    </wps:bodyPr>
                  </wps:wsp>
                </a:graphicData>
              </a:graphic>
            </wp:anchor>
          </w:drawing>
        </mc:Choice>
        <mc:Fallback>
          <w:pict>
            <v:shape style="position:absolute;margin-left:297.480011pt;margin-top:741.322083pt;width:18.05pt;height:14.25pt;mso-position-horizontal-relative:page;mso-position-vertical-relative:page;z-index:-16117248" type="#_x0000_t202" id="docshape2" filled="false" stroked="false">
              <v:textbox inset="0,0,0,0">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78</w:t>
                    </w:r>
                    <w:r>
                      <w:rPr>
                        <w:spacing w:val="-5"/>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mc:AlternateContent>
        <mc:Choice Requires="wps">
          <w:drawing>
            <wp:anchor distT="0" distB="0" distL="0" distR="0" allowOverlap="1" layoutInCell="1" locked="0" behindDoc="1" simplePos="0" relativeHeight="487198720">
              <wp:simplePos x="0" y="0"/>
              <wp:positionH relativeFrom="page">
                <wp:posOffset>970280</wp:posOffset>
              </wp:positionH>
              <wp:positionV relativeFrom="page">
                <wp:posOffset>444950</wp:posOffset>
              </wp:positionV>
              <wp:extent cx="5405120" cy="1390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405120" cy="139065"/>
                      </a:xfrm>
                      <a:prstGeom prst="rect">
                        <a:avLst/>
                      </a:prstGeom>
                    </wps:spPr>
                    <wps:txbx>
                      <w:txbxContent>
                        <w:p>
                          <w:pPr>
                            <w:spacing w:before="14"/>
                            <w:ind w:left="20" w:right="0" w:firstLine="0"/>
                            <w:jc w:val="left"/>
                            <w:rPr>
                              <w:i/>
                              <w:sz w:val="16"/>
                            </w:rPr>
                          </w:pPr>
                          <w:r>
                            <w:rPr>
                              <w:i/>
                              <w:sz w:val="16"/>
                            </w:rPr>
                            <w:t>Fitzpatrick,</w:t>
                          </w:r>
                          <w:r>
                            <w:rPr>
                              <w:i/>
                              <w:spacing w:val="-4"/>
                              <w:sz w:val="16"/>
                            </w:rPr>
                            <w:t> </w:t>
                          </w:r>
                          <w:r>
                            <w:rPr>
                              <w:i/>
                              <w:sz w:val="16"/>
                            </w:rPr>
                            <w:t>V.,</w:t>
                          </w:r>
                          <w:r>
                            <w:rPr>
                              <w:i/>
                              <w:spacing w:val="-6"/>
                              <w:sz w:val="16"/>
                            </w:rPr>
                            <w:t> </w:t>
                          </w:r>
                          <w:r>
                            <w:rPr>
                              <w:i/>
                              <w:sz w:val="16"/>
                            </w:rPr>
                            <w:t>Mouttapa,</w:t>
                          </w:r>
                          <w:r>
                            <w:rPr>
                              <w:i/>
                              <w:spacing w:val="-6"/>
                              <w:sz w:val="16"/>
                            </w:rPr>
                            <w:t> </w:t>
                          </w:r>
                          <w:r>
                            <w:rPr>
                              <w:i/>
                              <w:sz w:val="16"/>
                            </w:rPr>
                            <w:t>M.,</w:t>
                          </w:r>
                          <w:r>
                            <w:rPr>
                              <w:i/>
                              <w:spacing w:val="-3"/>
                              <w:sz w:val="16"/>
                            </w:rPr>
                            <w:t> </w:t>
                          </w:r>
                          <w:r>
                            <w:rPr>
                              <w:i/>
                              <w:sz w:val="16"/>
                            </w:rPr>
                            <w:t>Tanjasiri,</w:t>
                          </w:r>
                          <w:r>
                            <w:rPr>
                              <w:i/>
                              <w:spacing w:val="-6"/>
                              <w:sz w:val="16"/>
                            </w:rPr>
                            <w:t> </w:t>
                          </w:r>
                          <w:r>
                            <w:rPr>
                              <w:i/>
                              <w:sz w:val="16"/>
                            </w:rPr>
                            <w:t>S.P.,</w:t>
                          </w:r>
                          <w:r>
                            <w:rPr>
                              <w:i/>
                              <w:spacing w:val="-6"/>
                              <w:sz w:val="16"/>
                            </w:rPr>
                            <w:t> </w:t>
                          </w:r>
                          <w:r>
                            <w:rPr>
                              <w:i/>
                              <w:sz w:val="16"/>
                            </w:rPr>
                            <w:t>Napoli,</w:t>
                          </w:r>
                          <w:r>
                            <w:rPr>
                              <w:i/>
                              <w:spacing w:val="-5"/>
                              <w:sz w:val="16"/>
                            </w:rPr>
                            <w:t> </w:t>
                          </w:r>
                          <w:r>
                            <w:rPr>
                              <w:i/>
                              <w:sz w:val="16"/>
                            </w:rPr>
                            <w:t>J./</w:t>
                          </w:r>
                          <w:r>
                            <w:rPr>
                              <w:i/>
                              <w:spacing w:val="-6"/>
                              <w:sz w:val="16"/>
                            </w:rPr>
                            <w:t> </w:t>
                          </w:r>
                          <w:r>
                            <w:rPr>
                              <w:i/>
                              <w:sz w:val="16"/>
                            </w:rPr>
                            <w:t>Californian</w:t>
                          </w:r>
                          <w:r>
                            <w:rPr>
                              <w:i/>
                              <w:spacing w:val="-5"/>
                              <w:sz w:val="16"/>
                            </w:rPr>
                            <w:t> </w:t>
                          </w:r>
                          <w:r>
                            <w:rPr>
                              <w:i/>
                              <w:sz w:val="16"/>
                            </w:rPr>
                            <w:t>Journal</w:t>
                          </w:r>
                          <w:r>
                            <w:rPr>
                              <w:i/>
                              <w:spacing w:val="-6"/>
                              <w:sz w:val="16"/>
                            </w:rPr>
                            <w:t> </w:t>
                          </w:r>
                          <w:r>
                            <w:rPr>
                              <w:i/>
                              <w:sz w:val="16"/>
                            </w:rPr>
                            <w:t>of</w:t>
                          </w:r>
                          <w:r>
                            <w:rPr>
                              <w:i/>
                              <w:spacing w:val="-4"/>
                              <w:sz w:val="16"/>
                            </w:rPr>
                            <w:t> </w:t>
                          </w:r>
                          <w:r>
                            <w:rPr>
                              <w:i/>
                              <w:sz w:val="16"/>
                            </w:rPr>
                            <w:t>Health</w:t>
                          </w:r>
                          <w:r>
                            <w:rPr>
                              <w:i/>
                              <w:spacing w:val="-6"/>
                              <w:sz w:val="16"/>
                            </w:rPr>
                            <w:t> </w:t>
                          </w:r>
                          <w:r>
                            <w:rPr>
                              <w:i/>
                              <w:sz w:val="16"/>
                            </w:rPr>
                            <w:t>Promotion</w:t>
                          </w:r>
                          <w:r>
                            <w:rPr>
                              <w:i/>
                              <w:spacing w:val="-5"/>
                              <w:sz w:val="16"/>
                            </w:rPr>
                            <w:t> </w:t>
                          </w:r>
                          <w:r>
                            <w:rPr>
                              <w:i/>
                              <w:sz w:val="16"/>
                            </w:rPr>
                            <w:t>2014,</w:t>
                          </w:r>
                          <w:r>
                            <w:rPr>
                              <w:i/>
                              <w:spacing w:val="-6"/>
                              <w:sz w:val="16"/>
                            </w:rPr>
                            <w:t> </w:t>
                          </w:r>
                          <w:r>
                            <w:rPr>
                              <w:i/>
                              <w:sz w:val="16"/>
                            </w:rPr>
                            <w:t>Volume</w:t>
                          </w:r>
                          <w:r>
                            <w:rPr>
                              <w:i/>
                              <w:spacing w:val="-5"/>
                              <w:sz w:val="16"/>
                            </w:rPr>
                            <w:t> </w:t>
                          </w:r>
                          <w:r>
                            <w:rPr>
                              <w:i/>
                              <w:sz w:val="16"/>
                            </w:rPr>
                            <w:t>12,</w:t>
                          </w:r>
                          <w:r>
                            <w:rPr>
                              <w:i/>
                              <w:spacing w:val="-4"/>
                              <w:sz w:val="16"/>
                            </w:rPr>
                            <w:t> </w:t>
                          </w:r>
                          <w:r>
                            <w:rPr>
                              <w:i/>
                              <w:sz w:val="16"/>
                            </w:rPr>
                            <w:t>Issue</w:t>
                          </w:r>
                          <w:r>
                            <w:rPr>
                              <w:i/>
                              <w:spacing w:val="-6"/>
                              <w:sz w:val="16"/>
                            </w:rPr>
                            <w:t> </w:t>
                          </w:r>
                          <w:r>
                            <w:rPr>
                              <w:i/>
                              <w:sz w:val="16"/>
                            </w:rPr>
                            <w:t>2,</w:t>
                          </w:r>
                          <w:r>
                            <w:rPr>
                              <w:i/>
                              <w:spacing w:val="-5"/>
                              <w:sz w:val="16"/>
                            </w:rPr>
                            <w:t> </w:t>
                          </w:r>
                          <w:r>
                            <w:rPr>
                              <w:i/>
                              <w:sz w:val="16"/>
                            </w:rPr>
                            <w:t>78-</w:t>
                          </w:r>
                          <w:r>
                            <w:rPr>
                              <w:i/>
                              <w:spacing w:val="-5"/>
                              <w:sz w:val="16"/>
                            </w:rPr>
                            <w:t>89.</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6.400002pt;margin-top:35.035450pt;width:425.6pt;height:10.95pt;mso-position-horizontal-relative:page;mso-position-vertical-relative:page;z-index:-16117760" type="#_x0000_t202" id="docshape1" filled="false" stroked="false">
              <v:textbox inset="0,0,0,0">
                <w:txbxContent>
                  <w:p>
                    <w:pPr>
                      <w:spacing w:before="14"/>
                      <w:ind w:left="20" w:right="0" w:firstLine="0"/>
                      <w:jc w:val="left"/>
                      <w:rPr>
                        <w:i/>
                        <w:sz w:val="16"/>
                      </w:rPr>
                    </w:pPr>
                    <w:r>
                      <w:rPr>
                        <w:i/>
                        <w:sz w:val="16"/>
                      </w:rPr>
                      <w:t>Fitzpatrick,</w:t>
                    </w:r>
                    <w:r>
                      <w:rPr>
                        <w:i/>
                        <w:spacing w:val="-4"/>
                        <w:sz w:val="16"/>
                      </w:rPr>
                      <w:t> </w:t>
                    </w:r>
                    <w:r>
                      <w:rPr>
                        <w:i/>
                        <w:sz w:val="16"/>
                      </w:rPr>
                      <w:t>V.,</w:t>
                    </w:r>
                    <w:r>
                      <w:rPr>
                        <w:i/>
                        <w:spacing w:val="-6"/>
                        <w:sz w:val="16"/>
                      </w:rPr>
                      <w:t> </w:t>
                    </w:r>
                    <w:r>
                      <w:rPr>
                        <w:i/>
                        <w:sz w:val="16"/>
                      </w:rPr>
                      <w:t>Mouttapa,</w:t>
                    </w:r>
                    <w:r>
                      <w:rPr>
                        <w:i/>
                        <w:spacing w:val="-6"/>
                        <w:sz w:val="16"/>
                      </w:rPr>
                      <w:t> </w:t>
                    </w:r>
                    <w:r>
                      <w:rPr>
                        <w:i/>
                        <w:sz w:val="16"/>
                      </w:rPr>
                      <w:t>M.,</w:t>
                    </w:r>
                    <w:r>
                      <w:rPr>
                        <w:i/>
                        <w:spacing w:val="-3"/>
                        <w:sz w:val="16"/>
                      </w:rPr>
                      <w:t> </w:t>
                    </w:r>
                    <w:r>
                      <w:rPr>
                        <w:i/>
                        <w:sz w:val="16"/>
                      </w:rPr>
                      <w:t>Tanjasiri,</w:t>
                    </w:r>
                    <w:r>
                      <w:rPr>
                        <w:i/>
                        <w:spacing w:val="-6"/>
                        <w:sz w:val="16"/>
                      </w:rPr>
                      <w:t> </w:t>
                    </w:r>
                    <w:r>
                      <w:rPr>
                        <w:i/>
                        <w:sz w:val="16"/>
                      </w:rPr>
                      <w:t>S.P.,</w:t>
                    </w:r>
                    <w:r>
                      <w:rPr>
                        <w:i/>
                        <w:spacing w:val="-6"/>
                        <w:sz w:val="16"/>
                      </w:rPr>
                      <w:t> </w:t>
                    </w:r>
                    <w:r>
                      <w:rPr>
                        <w:i/>
                        <w:sz w:val="16"/>
                      </w:rPr>
                      <w:t>Napoli,</w:t>
                    </w:r>
                    <w:r>
                      <w:rPr>
                        <w:i/>
                        <w:spacing w:val="-5"/>
                        <w:sz w:val="16"/>
                      </w:rPr>
                      <w:t> </w:t>
                    </w:r>
                    <w:r>
                      <w:rPr>
                        <w:i/>
                        <w:sz w:val="16"/>
                      </w:rPr>
                      <w:t>J./</w:t>
                    </w:r>
                    <w:r>
                      <w:rPr>
                        <w:i/>
                        <w:spacing w:val="-6"/>
                        <w:sz w:val="16"/>
                      </w:rPr>
                      <w:t> </w:t>
                    </w:r>
                    <w:r>
                      <w:rPr>
                        <w:i/>
                        <w:sz w:val="16"/>
                      </w:rPr>
                      <w:t>Californian</w:t>
                    </w:r>
                    <w:r>
                      <w:rPr>
                        <w:i/>
                        <w:spacing w:val="-5"/>
                        <w:sz w:val="16"/>
                      </w:rPr>
                      <w:t> </w:t>
                    </w:r>
                    <w:r>
                      <w:rPr>
                        <w:i/>
                        <w:sz w:val="16"/>
                      </w:rPr>
                      <w:t>Journal</w:t>
                    </w:r>
                    <w:r>
                      <w:rPr>
                        <w:i/>
                        <w:spacing w:val="-6"/>
                        <w:sz w:val="16"/>
                      </w:rPr>
                      <w:t> </w:t>
                    </w:r>
                    <w:r>
                      <w:rPr>
                        <w:i/>
                        <w:sz w:val="16"/>
                      </w:rPr>
                      <w:t>of</w:t>
                    </w:r>
                    <w:r>
                      <w:rPr>
                        <w:i/>
                        <w:spacing w:val="-4"/>
                        <w:sz w:val="16"/>
                      </w:rPr>
                      <w:t> </w:t>
                    </w:r>
                    <w:r>
                      <w:rPr>
                        <w:i/>
                        <w:sz w:val="16"/>
                      </w:rPr>
                      <w:t>Health</w:t>
                    </w:r>
                    <w:r>
                      <w:rPr>
                        <w:i/>
                        <w:spacing w:val="-6"/>
                        <w:sz w:val="16"/>
                      </w:rPr>
                      <w:t> </w:t>
                    </w:r>
                    <w:r>
                      <w:rPr>
                        <w:i/>
                        <w:sz w:val="16"/>
                      </w:rPr>
                      <w:t>Promotion</w:t>
                    </w:r>
                    <w:r>
                      <w:rPr>
                        <w:i/>
                        <w:spacing w:val="-5"/>
                        <w:sz w:val="16"/>
                      </w:rPr>
                      <w:t> </w:t>
                    </w:r>
                    <w:r>
                      <w:rPr>
                        <w:i/>
                        <w:sz w:val="16"/>
                      </w:rPr>
                      <w:t>2014,</w:t>
                    </w:r>
                    <w:r>
                      <w:rPr>
                        <w:i/>
                        <w:spacing w:val="-6"/>
                        <w:sz w:val="16"/>
                      </w:rPr>
                      <w:t> </w:t>
                    </w:r>
                    <w:r>
                      <w:rPr>
                        <w:i/>
                        <w:sz w:val="16"/>
                      </w:rPr>
                      <w:t>Volume</w:t>
                    </w:r>
                    <w:r>
                      <w:rPr>
                        <w:i/>
                        <w:spacing w:val="-5"/>
                        <w:sz w:val="16"/>
                      </w:rPr>
                      <w:t> </w:t>
                    </w:r>
                    <w:r>
                      <w:rPr>
                        <w:i/>
                        <w:sz w:val="16"/>
                      </w:rPr>
                      <w:t>12,</w:t>
                    </w:r>
                    <w:r>
                      <w:rPr>
                        <w:i/>
                        <w:spacing w:val="-4"/>
                        <w:sz w:val="16"/>
                      </w:rPr>
                      <w:t> </w:t>
                    </w:r>
                    <w:r>
                      <w:rPr>
                        <w:i/>
                        <w:sz w:val="16"/>
                      </w:rPr>
                      <w:t>Issue</w:t>
                    </w:r>
                    <w:r>
                      <w:rPr>
                        <w:i/>
                        <w:spacing w:val="-6"/>
                        <w:sz w:val="16"/>
                      </w:rPr>
                      <w:t> </w:t>
                    </w:r>
                    <w:r>
                      <w:rPr>
                        <w:i/>
                        <w:sz w:val="16"/>
                      </w:rPr>
                      <w:t>2,</w:t>
                    </w:r>
                    <w:r>
                      <w:rPr>
                        <w:i/>
                        <w:spacing w:val="-5"/>
                        <w:sz w:val="16"/>
                      </w:rPr>
                      <w:t> </w:t>
                    </w:r>
                    <w:r>
                      <w:rPr>
                        <w:i/>
                        <w:sz w:val="16"/>
                      </w:rPr>
                      <w:t>78-</w:t>
                    </w:r>
                    <w:r>
                      <w:rPr>
                        <w:i/>
                        <w:spacing w:val="-5"/>
                        <w:sz w:val="16"/>
                      </w:rPr>
                      <w:t>89.</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19"/>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line="250" w:lineRule="exact"/>
      <w:ind w:left="120"/>
      <w:outlineLvl w:val="1"/>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ind w:left="25" w:right="24"/>
      <w:jc w:val="center"/>
    </w:pPr>
    <w:rPr>
      <w:rFonts w:ascii="Times New Roman" w:hAnsi="Times New Roman" w:eastAsia="Times New Roman" w:cs="Times New Roman"/>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www.ncbi.nlm.nih.gov/pubmed/?term=Finer%20LB%5Bauth%5D" TargetMode="External"/><Relationship Id="rId8" Type="http://schemas.openxmlformats.org/officeDocument/2006/relationships/hyperlink" Target="http://www.ncbi.nlm.nih.gov/pubmed/?term=Zolna%20MR%5Bauth%5D" TargetMode="External"/><Relationship Id="rId9" Type="http://schemas.openxmlformats.org/officeDocument/2006/relationships/hyperlink" Target="http://www.ncbi.nlm.nih.gov/pubmed?term=Wu%20J%5BAuthor%5D&amp;cauthor=true&amp;cauthor_uid=18847575" TargetMode="External"/><Relationship Id="rId10" Type="http://schemas.openxmlformats.org/officeDocument/2006/relationships/hyperlink" Target="http://www.ncbi.nlm.nih.gov/pubmed?term=Meldrum%20S%5BAuthor%5D&amp;cauthor=true&amp;cauthor_uid=18847575" TargetMode="External"/><Relationship Id="rId11" Type="http://schemas.openxmlformats.org/officeDocument/2006/relationships/hyperlink" Target="http://www.ncbi.nlm.nih.gov/pubmed?term=Stanwood%20N%5BAuthor%5D&amp;cauthor=true&amp;cauthor_uid=18847575" TargetMode="External"/><Relationship Id="rId12" Type="http://schemas.openxmlformats.org/officeDocument/2006/relationships/hyperlink" Target="http://www.ncbi.nlm.nih.gov/pubmed?term=Fiscella%20K%5BAuthor%5D&amp;cauthor=true&amp;cauthor_uid=18847575" TargetMode="External"/><Relationship Id="rId13" Type="http://schemas.openxmlformats.org/officeDocument/2006/relationships/hyperlink" Target="http://www.ncbi.nlm.nih.gov/pubmed?term=Iuliano%20AD%5BAuthor%5D&amp;cauthor=true&amp;cauthor_uid=16430324" TargetMode="External"/><Relationship Id="rId14" Type="http://schemas.openxmlformats.org/officeDocument/2006/relationships/hyperlink" Target="http://mensstudies.metapress.com/content/nu8jjt416q405u68/" TargetMode="External"/><Relationship Id="rId15" Type="http://schemas.openxmlformats.org/officeDocument/2006/relationships/hyperlink" Target="http://www.ncbi.nlm.nih.gov/pubmed/18195304" TargetMode="External"/><Relationship Id="rId16" Type="http://schemas.openxmlformats.org/officeDocument/2006/relationships/hyperlink" Target="http://www.cdc.gov/reproductivehealth/UnintendedPregnancy/index.htm" TargetMode="External"/><Relationship Id="rId17" Type="http://schemas.openxmlformats.org/officeDocument/2006/relationships/hyperlink" Target="http://www.cdc.gov/mmwr/preview/mmwrhtml/rr5904a1.htm?s_cid=rr5904a1_e&amp;tab1" TargetMode="External"/><Relationship Id="rId18" Type="http://schemas.openxmlformats.org/officeDocument/2006/relationships/hyperlink" Target="http://www.biomedcentral.com/1471-2458/9/20" TargetMode="External"/><Relationship Id="rId19" Type="http://schemas.openxmlformats.org/officeDocument/2006/relationships/hyperlink" Target="http://www.cdc.gov/nchs/data/databriefs/db112.pdf" TargetMode="External"/><Relationship Id="rId20" Type="http://schemas.openxmlformats.org/officeDocument/2006/relationships/hyperlink" Target="http://www.ncbi.nlm.nih.gov/pmc/articles/PMC3775543/" TargetMode="External"/><Relationship Id="rId21" Type="http://schemas.openxmlformats.org/officeDocument/2006/relationships/hyperlink" Target="http://www.ncbi.nlm.nih.gov/pmc/articles/PMC3338192/" TargetMode="External"/><Relationship Id="rId22" Type="http://schemas.openxmlformats.org/officeDocument/2006/relationships/hyperlink" Target="http://www.ncbi.nlm.nih.gov/pubmed/24354819" TargetMode="External"/><Relationship Id="rId23" Type="http://schemas.openxmlformats.org/officeDocument/2006/relationships/hyperlink" Target="http://www.fda.gov/newsevents/newsroom/pressannouncements/ucm358082.htm" TargetMode="External"/><Relationship Id="rId24" Type="http://schemas.openxmlformats.org/officeDocument/2006/relationships/hyperlink" Target="http://www.ncbi.nlm.nih.gov/pubmed/17321944" TargetMode="External"/><Relationship Id="rId25" Type="http://schemas.openxmlformats.org/officeDocument/2006/relationships/hyperlink" Target="http://www.ncbi.nlm.nih.gov/pubmed/19614875" TargetMode="External"/><Relationship Id="rId26" Type="http://schemas.openxmlformats.org/officeDocument/2006/relationships/hyperlink" Target="http://jfi.sagepub.com/content/25/3/404.short" TargetMode="External"/><Relationship Id="rId27" Type="http://schemas.openxmlformats.org/officeDocument/2006/relationships/hyperlink" Target="http://www.ncbi.nlm.nih.gov/pubmed/16430324" TargetMode="External"/><Relationship Id="rId28" Type="http://schemas.openxmlformats.org/officeDocument/2006/relationships/hyperlink" Target="http://www.ncbi.nlm.nih.gov/pubmed/19443830" TargetMode="External"/><Relationship Id="rId29" Type="http://schemas.openxmlformats.org/officeDocument/2006/relationships/hyperlink" Target="http://books.google.com/books?hl=en&amp;lr&amp;id=EFPs55zfAKcC&amp;oi=fnd&amp;pg=PA162&amp;dq=Affect" TargetMode="External"/><Relationship Id="rId30" Type="http://schemas.openxmlformats.org/officeDocument/2006/relationships/hyperlink" Target="http://www.ncbi.nlm.nih.gov/pubmed/21134506" TargetMode="External"/><Relationship Id="rId31" Type="http://schemas.openxmlformats.org/officeDocument/2006/relationships/hyperlink" Target="http://www.ncbi.nlm.nih.gov/pubmed/24745694" TargetMode="External"/><Relationship Id="rId32" Type="http://schemas.openxmlformats.org/officeDocument/2006/relationships/hyperlink" Target="http://www.ncbi.nlm.nih.gov/pubmed/15722071" TargetMode="External"/><Relationship Id="rId33" Type="http://schemas.openxmlformats.org/officeDocument/2006/relationships/hyperlink" Target="http://www.ncbi.nlm.nih.gov/pubmed/21843692" TargetMode="External"/><Relationship Id="rId34" Type="http://schemas.openxmlformats.org/officeDocument/2006/relationships/hyperlink" Target="http://www.ncbi.nlm.nih.gov/pubmed/19879451" TargetMode="External"/><Relationship Id="rId35" Type="http://schemas.openxmlformats.org/officeDocument/2006/relationships/hyperlink" Target="http://informahealthcare.com/doi/abs/10.3109/01443615.2014.920783" TargetMode="External"/><Relationship Id="rId36" Type="http://schemas.openxmlformats.org/officeDocument/2006/relationships/hyperlink" Target="http://www.ncbi.nlm.nih.gov/pmc/articles/PMC2854868/" TargetMode="External"/><Relationship Id="rId37" Type="http://schemas.openxmlformats.org/officeDocument/2006/relationships/hyperlink" Target="http://www.ncbi.nlm.nih.gov/pubmed/17845526" TargetMode="External"/><Relationship Id="rId38" Type="http://schemas.openxmlformats.org/officeDocument/2006/relationships/hyperlink" Target="http://www.ncbi.nlm.nih.gov/pubmed/17355377" TargetMode="External"/><Relationship Id="rId39" Type="http://schemas.openxmlformats.org/officeDocument/2006/relationships/hyperlink" Target="http://www.ncbi.nlm.nih.gov/pubmed/21703870" TargetMode="External"/><Relationship Id="rId40" Type="http://schemas.openxmlformats.org/officeDocument/2006/relationships/hyperlink" Target="http://www.popline.org/node/296534" TargetMode="External"/><Relationship Id="rId41" Type="http://schemas.openxmlformats.org/officeDocument/2006/relationships/hyperlink" Target="http://www.ncbi.nlm.nih.gov/pubmed/17303484" TargetMode="External"/><Relationship Id="rId42" Type="http://schemas.openxmlformats.org/officeDocument/2006/relationships/hyperlink" Target="http://healthypeople.gov/2020/topicsobjectives2020/objectiveslist.aspx?topicId=13" TargetMode="External"/><Relationship Id="rId43" Type="http://schemas.openxmlformats.org/officeDocument/2006/relationships/hyperlink" Target="http://www.disc.wisc.edu/Codebooks/qg-067-002.pdf" TargetMode="External"/><Relationship Id="rId44" Type="http://schemas.openxmlformats.org/officeDocument/2006/relationships/hyperlink" Target="http://www.ncbi.nlm.nih.gov/pmc/articles/PMC2635885/" TargetMode="External"/><Relationship Id="rId45" Type="http://schemas.openxmlformats.org/officeDocument/2006/relationships/hyperlink" Target="http://www.popline.org/node/377213" TargetMode="External"/><Relationship Id="rId46" Type="http://schemas.openxmlformats.org/officeDocument/2006/relationships/hyperlink" Target="http://www.ncbi.nlm.nih.gov/pubmed/17845527" TargetMode="External"/><Relationship Id="rId47" Type="http://schemas.openxmlformats.org/officeDocument/2006/relationships/hyperlink" Target="http://www.contraceptionjournal.org/article/S0010-7824(08)00323-5/abstract" TargetMode="External"/><Relationship Id="rId48" Type="http://schemas.openxmlformats.org/officeDocument/2006/relationships/hyperlink" Target="mailto:vrepublic@csu.fullert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California State University, Fullerton</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PASTE AUTHOR HERE</dc:creator>
  <dc:description>http://www.cjhp.org</dc:description>
  <cp:keywords>PASTE KEYWORDS HERE</cp:keywords>
  <dc:subject>Californian Journal of Health Promotion 2011 Volume 9 Issue 2</dc:subject>
  <dc:title>PASTE TITLE HERE</dc:title>
  <dcterms:created xsi:type="dcterms:W3CDTF">2026-10-05T15:47:21Z</dcterms:created>
  <dcterms:modified xsi:type="dcterms:W3CDTF">2026-10-05T15:47:21Z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2014-09-04T00:00:00Z</vt:filetime>
  </property>
  <property fmtid="{D5CDD505-2E9C-101B-9397-08002B2CF9AE}" pid="3" name="Creator">
    <vt:lpwstr>Acrobat PDFMaker 10.1 for Word</vt:lpwstr>
  </property>
  <property fmtid="{D5CDD505-2E9C-101B-9397-08002B2CF9AE}" pid="4" name="LastSaved">
    <vt:filetime>2026-10-05T00:00:00Z</vt:filetime>
  </property>
  <property fmtid="{D5CDD505-2E9C-101B-9397-08002B2CF9AE}" pid="5" name="Producer">
    <vt:lpwstr>Adobe PDF Library 10.0</vt:lpwstr>
  </property>
  <property fmtid="{D5CDD505-2E9C-101B-9397-08002B2CF9AE}" pid="6" name="SourceModified">
    <vt:lpwstr>D:20140905062818</vt:lpwstr>
  </property>
</Properties>
</file>