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34"/>
        <w:rPr>
          <w:sz w:val="28"/>
        </w:rPr>
      </w:pPr>
    </w:p>
    <w:p>
      <w:pPr>
        <w:pStyle w:val="Title"/>
      </w:pPr>
      <w:r>
        <w:rPr/>
        <w:t>A</w:t>
      </w:r>
      <w:r>
        <w:rPr>
          <w:spacing w:val="-6"/>
        </w:rPr>
        <w:t> </w:t>
      </w:r>
      <w:r>
        <w:rPr/>
        <w:t>Pacific</w:t>
      </w:r>
      <w:r>
        <w:rPr>
          <w:spacing w:val="-6"/>
        </w:rPr>
        <w:t> </w:t>
      </w:r>
      <w:r>
        <w:rPr/>
        <w:t>Islander</w:t>
      </w:r>
      <w:r>
        <w:rPr>
          <w:spacing w:val="-6"/>
        </w:rPr>
        <w:t> </w:t>
      </w:r>
      <w:r>
        <w:rPr/>
        <w:t>Organization’s</w:t>
      </w:r>
      <w:r>
        <w:rPr>
          <w:spacing w:val="-6"/>
        </w:rPr>
        <w:t> </w:t>
      </w:r>
      <w:r>
        <w:rPr/>
        <w:t>Approach</w:t>
      </w:r>
      <w:r>
        <w:rPr>
          <w:spacing w:val="-6"/>
        </w:rPr>
        <w:t> </w:t>
      </w:r>
      <w:r>
        <w:rPr/>
        <w:t>Towards</w:t>
      </w:r>
      <w:r>
        <w:rPr>
          <w:spacing w:val="-6"/>
        </w:rPr>
        <w:t> </w:t>
      </w:r>
      <w:r>
        <w:rPr/>
        <w:t>Increasing</w:t>
      </w:r>
      <w:r>
        <w:rPr>
          <w:spacing w:val="-6"/>
        </w:rPr>
        <w:t> </w:t>
      </w:r>
      <w:r>
        <w:rPr/>
        <w:t>Community Colorectal Cancer Knowledge and Beliefs</w:t>
      </w:r>
    </w:p>
    <w:p>
      <w:pPr>
        <w:pStyle w:val="Heading1"/>
        <w:spacing w:before="230"/>
        <w:ind w:left="271" w:right="489"/>
        <w:jc w:val="center"/>
      </w:pPr>
      <w:r>
        <w:rPr/>
        <w:t>Roger</w:t>
      </w:r>
      <w:r>
        <w:rPr>
          <w:spacing w:val="-3"/>
        </w:rPr>
        <w:t> </w:t>
      </w:r>
      <w:r>
        <w:rPr/>
        <w:t>Sur</w:t>
      </w:r>
      <w:r>
        <w:rPr>
          <w:vertAlign w:val="superscript"/>
        </w:rPr>
        <w:t>1</w:t>
      </w:r>
      <w:r>
        <w:rPr>
          <w:vertAlign w:val="baseline"/>
        </w:rPr>
        <w:t>,</w:t>
      </w:r>
      <w:r>
        <w:rPr>
          <w:spacing w:val="-4"/>
          <w:vertAlign w:val="baseline"/>
        </w:rPr>
        <w:t> </w:t>
      </w:r>
      <w:r>
        <w:rPr>
          <w:vertAlign w:val="baseline"/>
        </w:rPr>
        <w:t>Ruth</w:t>
      </w:r>
      <w:r>
        <w:rPr>
          <w:spacing w:val="-4"/>
          <w:vertAlign w:val="baseline"/>
        </w:rPr>
        <w:t> </w:t>
      </w:r>
      <w:r>
        <w:rPr>
          <w:vertAlign w:val="baseline"/>
        </w:rPr>
        <w:t>Peters</w:t>
      </w:r>
      <w:r>
        <w:rPr>
          <w:vertAlign w:val="superscript"/>
        </w:rPr>
        <w:t>1</w:t>
      </w:r>
      <w:r>
        <w:rPr>
          <w:vertAlign w:val="baseline"/>
        </w:rPr>
        <w:t>,</w:t>
      </w:r>
      <w:r>
        <w:rPr>
          <w:spacing w:val="-3"/>
          <w:vertAlign w:val="baseline"/>
        </w:rPr>
        <w:t> </w:t>
      </w:r>
      <w:r>
        <w:rPr>
          <w:vertAlign w:val="baseline"/>
        </w:rPr>
        <w:t>Leah</w:t>
      </w:r>
      <w:r>
        <w:rPr>
          <w:spacing w:val="-3"/>
          <w:vertAlign w:val="baseline"/>
        </w:rPr>
        <w:t> </w:t>
      </w:r>
      <w:r>
        <w:rPr>
          <w:vertAlign w:val="baseline"/>
        </w:rPr>
        <w:t>Leilani</w:t>
      </w:r>
      <w:r>
        <w:rPr>
          <w:spacing w:val="-3"/>
          <w:vertAlign w:val="baseline"/>
        </w:rPr>
        <w:t> </w:t>
      </w:r>
      <w:r>
        <w:rPr>
          <w:vertAlign w:val="baseline"/>
        </w:rPr>
        <w:t>Beck</w:t>
      </w:r>
      <w:r>
        <w:rPr>
          <w:vertAlign w:val="superscript"/>
        </w:rPr>
        <w:t>2</w:t>
      </w:r>
      <w:r>
        <w:rPr>
          <w:vertAlign w:val="baseline"/>
        </w:rPr>
        <w:t>,</w:t>
      </w:r>
      <w:r>
        <w:rPr>
          <w:spacing w:val="-4"/>
          <w:vertAlign w:val="baseline"/>
        </w:rPr>
        <w:t> </w:t>
      </w:r>
      <w:r>
        <w:rPr>
          <w:vertAlign w:val="baseline"/>
        </w:rPr>
        <w:t>Melevesi</w:t>
      </w:r>
      <w:r>
        <w:rPr>
          <w:spacing w:val="-4"/>
          <w:vertAlign w:val="baseline"/>
        </w:rPr>
        <w:t> </w:t>
      </w:r>
      <w:r>
        <w:rPr>
          <w:vertAlign w:val="baseline"/>
        </w:rPr>
        <w:t>Fifita</w:t>
      </w:r>
      <w:r>
        <w:rPr>
          <w:vertAlign w:val="superscript"/>
        </w:rPr>
        <w:t>3</w:t>
      </w:r>
      <w:r>
        <w:rPr>
          <w:vertAlign w:val="baseline"/>
        </w:rPr>
        <w:t>,</w:t>
      </w:r>
      <w:r>
        <w:rPr>
          <w:spacing w:val="-3"/>
          <w:vertAlign w:val="baseline"/>
        </w:rPr>
        <w:t> </w:t>
      </w:r>
      <w:r>
        <w:rPr>
          <w:vertAlign w:val="baseline"/>
        </w:rPr>
        <w:t>Maria</w:t>
      </w:r>
      <w:r>
        <w:rPr>
          <w:spacing w:val="-3"/>
          <w:vertAlign w:val="baseline"/>
        </w:rPr>
        <w:t> </w:t>
      </w:r>
      <w:r>
        <w:rPr>
          <w:vertAlign w:val="baseline"/>
        </w:rPr>
        <w:t>Gonzalez</w:t>
      </w:r>
      <w:r>
        <w:rPr>
          <w:vertAlign w:val="superscript"/>
        </w:rPr>
        <w:t>2</w:t>
      </w:r>
      <w:r>
        <w:rPr>
          <w:vertAlign w:val="baseline"/>
        </w:rPr>
        <w:t>,</w:t>
      </w:r>
      <w:r>
        <w:rPr>
          <w:spacing w:val="-4"/>
          <w:vertAlign w:val="baseline"/>
        </w:rPr>
        <w:t> </w:t>
      </w:r>
      <w:r>
        <w:rPr>
          <w:vertAlign w:val="baseline"/>
        </w:rPr>
        <w:t>Linda Guevara</w:t>
      </w:r>
      <w:r>
        <w:rPr>
          <w:vertAlign w:val="superscript"/>
        </w:rPr>
        <w:t>4</w:t>
      </w:r>
      <w:r>
        <w:rPr>
          <w:vertAlign w:val="baseline"/>
        </w:rPr>
        <w:t>, Paula Healani Palmer</w:t>
      </w:r>
      <w:r>
        <w:rPr>
          <w:vertAlign w:val="superscript"/>
        </w:rPr>
        <w:t>5</w:t>
      </w:r>
      <w:r>
        <w:rPr>
          <w:vertAlign w:val="baseline"/>
        </w:rPr>
        <w:t>, and Sora Park Tanjasiri</w:t>
      </w:r>
      <w:r>
        <w:rPr>
          <w:vertAlign w:val="superscript"/>
        </w:rPr>
        <w:t>1</w:t>
      </w:r>
    </w:p>
    <w:p>
      <w:pPr>
        <w:spacing w:before="231"/>
        <w:ind w:left="3071" w:right="3289" w:firstLine="0"/>
        <w:jc w:val="center"/>
        <w:rPr>
          <w:i/>
          <w:sz w:val="24"/>
        </w:rPr>
      </w:pPr>
      <w:r>
        <w:rPr>
          <w:i/>
          <w:sz w:val="24"/>
          <w:vertAlign w:val="superscript"/>
        </w:rPr>
        <w:t>1</w:t>
      </w:r>
      <w:r>
        <w:rPr>
          <w:i/>
          <w:sz w:val="24"/>
          <w:vertAlign w:val="baseline"/>
        </w:rPr>
        <w:t>California</w:t>
      </w:r>
      <w:r>
        <w:rPr>
          <w:i/>
          <w:spacing w:val="-13"/>
          <w:sz w:val="24"/>
          <w:vertAlign w:val="baseline"/>
        </w:rPr>
        <w:t> </w:t>
      </w:r>
      <w:r>
        <w:rPr>
          <w:i/>
          <w:sz w:val="24"/>
          <w:vertAlign w:val="baseline"/>
        </w:rPr>
        <w:t>State</w:t>
      </w:r>
      <w:r>
        <w:rPr>
          <w:i/>
          <w:spacing w:val="-13"/>
          <w:sz w:val="24"/>
          <w:vertAlign w:val="baseline"/>
        </w:rPr>
        <w:t> </w:t>
      </w:r>
      <w:r>
        <w:rPr>
          <w:i/>
          <w:sz w:val="24"/>
          <w:vertAlign w:val="baseline"/>
        </w:rPr>
        <w:t>University</w:t>
      </w:r>
      <w:r>
        <w:rPr>
          <w:i/>
          <w:spacing w:val="-13"/>
          <w:sz w:val="24"/>
          <w:vertAlign w:val="baseline"/>
        </w:rPr>
        <w:t> </w:t>
      </w:r>
      <w:r>
        <w:rPr>
          <w:i/>
          <w:sz w:val="24"/>
          <w:vertAlign w:val="baseline"/>
        </w:rPr>
        <w:t>Fullerton</w:t>
      </w:r>
      <w:r>
        <w:rPr>
          <w:i/>
          <w:sz w:val="24"/>
          <w:vertAlign w:val="baseline"/>
        </w:rPr>
        <w:t> </w:t>
      </w:r>
      <w:r>
        <w:rPr>
          <w:i/>
          <w:sz w:val="24"/>
          <w:vertAlign w:val="superscript"/>
        </w:rPr>
        <w:t>2</w:t>
      </w:r>
      <w:r>
        <w:rPr>
          <w:i/>
          <w:sz w:val="24"/>
          <w:vertAlign w:val="baseline"/>
        </w:rPr>
        <w:t>St. Joseph Hospital of Orange </w:t>
      </w:r>
      <w:r>
        <w:rPr>
          <w:i/>
          <w:sz w:val="24"/>
          <w:vertAlign w:val="superscript"/>
        </w:rPr>
        <w:t>3</w:t>
      </w:r>
      <w:r>
        <w:rPr>
          <w:i/>
          <w:sz w:val="24"/>
          <w:vertAlign w:val="baseline"/>
        </w:rPr>
        <w:t>Pacific Islander Health Partnership </w:t>
      </w:r>
      <w:r>
        <w:rPr>
          <w:i/>
          <w:sz w:val="24"/>
          <w:vertAlign w:val="superscript"/>
        </w:rPr>
        <w:t>4</w:t>
      </w:r>
      <w:r>
        <w:rPr>
          <w:i/>
          <w:sz w:val="24"/>
          <w:vertAlign w:val="baseline"/>
        </w:rPr>
        <w:t>Guam Communications Network </w:t>
      </w:r>
      <w:r>
        <w:rPr>
          <w:i/>
          <w:sz w:val="24"/>
          <w:vertAlign w:val="superscript"/>
        </w:rPr>
        <w:t>5</w:t>
      </w:r>
      <w:r>
        <w:rPr>
          <w:i/>
          <w:sz w:val="24"/>
          <w:vertAlign w:val="baseline"/>
        </w:rPr>
        <w:t>Claremont Graduate University</w:t>
      </w:r>
    </w:p>
    <w:p>
      <w:pPr>
        <w:spacing w:before="255"/>
        <w:ind w:left="271" w:right="489" w:firstLine="0"/>
        <w:jc w:val="center"/>
        <w:rPr>
          <w:b/>
          <w:sz w:val="24"/>
        </w:rPr>
      </w:pPr>
      <w:r>
        <w:rPr>
          <w:b/>
          <w:spacing w:val="-2"/>
          <w:sz w:val="24"/>
        </w:rPr>
        <w:t>Abstract</w:t>
      </w:r>
    </w:p>
    <w:p>
      <w:pPr>
        <w:pStyle w:val="BodyText"/>
        <w:spacing w:before="136"/>
        <w:ind w:left="239" w:right="455"/>
        <w:jc w:val="both"/>
      </w:pPr>
      <w:r>
        <w:rPr>
          <w:b/>
        </w:rPr>
        <w:t>Purpose</w:t>
      </w:r>
      <w:r>
        <w:rPr/>
        <w:t>: Evaluate the educational intervention and determine if changes in knowledge and beliefs are associated with positive intentions to screen among Pacific Islanders (PIs). </w:t>
      </w:r>
      <w:r>
        <w:rPr>
          <w:b/>
        </w:rPr>
        <w:t>Design</w:t>
      </w:r>
      <w:r>
        <w:rPr/>
        <w:t>: Pre- and post-test surveys were utilized to evaluate the intervention. Educational materials included an in-language presentation,</w:t>
      </w:r>
      <w:r>
        <w:rPr>
          <w:spacing w:val="-4"/>
        </w:rPr>
        <w:t> </w:t>
      </w:r>
      <w:r>
        <w:rPr/>
        <w:t>educational</w:t>
      </w:r>
      <w:r>
        <w:rPr>
          <w:spacing w:val="-4"/>
        </w:rPr>
        <w:t> </w:t>
      </w:r>
      <w:r>
        <w:rPr/>
        <w:t>videos,</w:t>
      </w:r>
      <w:r>
        <w:rPr>
          <w:spacing w:val="-4"/>
        </w:rPr>
        <w:t> </w:t>
      </w:r>
      <w:r>
        <w:rPr/>
        <w:t>and</w:t>
      </w:r>
      <w:r>
        <w:rPr>
          <w:spacing w:val="-4"/>
        </w:rPr>
        <w:t> </w:t>
      </w:r>
      <w:r>
        <w:rPr/>
        <w:t>bookmarks</w:t>
      </w:r>
      <w:r>
        <w:rPr>
          <w:spacing w:val="-3"/>
        </w:rPr>
        <w:t> </w:t>
      </w:r>
      <w:r>
        <w:rPr/>
        <w:t>with</w:t>
      </w:r>
      <w:r>
        <w:rPr>
          <w:spacing w:val="-4"/>
        </w:rPr>
        <w:t> </w:t>
      </w:r>
      <w:r>
        <w:rPr/>
        <w:t>screening</w:t>
      </w:r>
      <w:r>
        <w:rPr>
          <w:spacing w:val="-4"/>
        </w:rPr>
        <w:t> </w:t>
      </w:r>
      <w:r>
        <w:rPr/>
        <w:t>re-enforcement</w:t>
      </w:r>
      <w:r>
        <w:rPr>
          <w:spacing w:val="-3"/>
        </w:rPr>
        <w:t> </w:t>
      </w:r>
      <w:r>
        <w:rPr/>
        <w:t>messages</w:t>
      </w:r>
      <w:r>
        <w:rPr>
          <w:spacing w:val="-4"/>
        </w:rPr>
        <w:t> </w:t>
      </w:r>
      <w:r>
        <w:rPr/>
        <w:t>for</w:t>
      </w:r>
      <w:r>
        <w:rPr>
          <w:spacing w:val="-3"/>
        </w:rPr>
        <w:t> </w:t>
      </w:r>
      <w:r>
        <w:rPr/>
        <w:t>community- based PI groups. </w:t>
      </w:r>
      <w:r>
        <w:rPr>
          <w:b/>
        </w:rPr>
        <w:t>Methods</w:t>
      </w:r>
      <w:r>
        <w:rPr/>
        <w:t>: One hundred and ninety-six PIs aged 50 years and older residing in Orange County completed the educational workshop. The dependent variable is intention and the independent variables are demographic, enabling, and predisposing characteristics. Statistical analyses included paired samples t-tests, chi-square tests, and two logistic regression models. </w:t>
      </w:r>
      <w:r>
        <w:rPr>
          <w:b/>
        </w:rPr>
        <w:t>Results</w:t>
      </w:r>
      <w:r>
        <w:rPr/>
        <w:t>: Knowledge and belief</w:t>
      </w:r>
      <w:r>
        <w:rPr>
          <w:spacing w:val="40"/>
        </w:rPr>
        <w:t> </w:t>
      </w:r>
      <w:r>
        <w:rPr/>
        <w:t>scores increased pre- to post-test. A majority intended to (1) talk to a doctor about colorectal cancer (CRC) screening (74.5%), and (2) participate in CRC screening (73.5%). Positive change in knowledge score was</w:t>
      </w:r>
      <w:r>
        <w:rPr>
          <w:spacing w:val="-1"/>
        </w:rPr>
        <w:t> </w:t>
      </w:r>
      <w:r>
        <w:rPr/>
        <w:t>a significant</w:t>
      </w:r>
      <w:r>
        <w:rPr>
          <w:spacing w:val="-1"/>
        </w:rPr>
        <w:t> </w:t>
      </w:r>
      <w:r>
        <w:rPr/>
        <w:t>predictor</w:t>
      </w:r>
      <w:r>
        <w:rPr>
          <w:spacing w:val="-1"/>
        </w:rPr>
        <w:t> </w:t>
      </w:r>
      <w:r>
        <w:rPr/>
        <w:t>for</w:t>
      </w:r>
      <w:r>
        <w:rPr>
          <w:spacing w:val="-1"/>
        </w:rPr>
        <w:t> </w:t>
      </w:r>
      <w:r>
        <w:rPr/>
        <w:t>intending</w:t>
      </w:r>
      <w:r>
        <w:rPr>
          <w:spacing w:val="-1"/>
        </w:rPr>
        <w:t> </w:t>
      </w:r>
      <w:r>
        <w:rPr/>
        <w:t>to</w:t>
      </w:r>
      <w:r>
        <w:rPr>
          <w:spacing w:val="-1"/>
        </w:rPr>
        <w:t> </w:t>
      </w:r>
      <w:r>
        <w:rPr/>
        <w:t>talk</w:t>
      </w:r>
      <w:r>
        <w:rPr>
          <w:spacing w:val="-2"/>
        </w:rPr>
        <w:t> </w:t>
      </w:r>
      <w:r>
        <w:rPr/>
        <w:t>to</w:t>
      </w:r>
      <w:r>
        <w:rPr>
          <w:spacing w:val="-1"/>
        </w:rPr>
        <w:t> </w:t>
      </w:r>
      <w:r>
        <w:rPr/>
        <w:t>a</w:t>
      </w:r>
      <w:r>
        <w:rPr>
          <w:spacing w:val="-1"/>
        </w:rPr>
        <w:t> </w:t>
      </w:r>
      <w:r>
        <w:rPr/>
        <w:t>doctor</w:t>
      </w:r>
      <w:r>
        <w:rPr>
          <w:spacing w:val="-1"/>
        </w:rPr>
        <w:t> </w:t>
      </w:r>
      <w:r>
        <w:rPr/>
        <w:t>about</w:t>
      </w:r>
      <w:r>
        <w:rPr>
          <w:spacing w:val="-1"/>
        </w:rPr>
        <w:t> </w:t>
      </w:r>
      <w:r>
        <w:rPr/>
        <w:t>CRC</w:t>
      </w:r>
      <w:r>
        <w:rPr>
          <w:spacing w:val="-1"/>
        </w:rPr>
        <w:t> </w:t>
      </w:r>
      <w:r>
        <w:rPr/>
        <w:t>screening;</w:t>
      </w:r>
      <w:r>
        <w:rPr>
          <w:spacing w:val="-1"/>
        </w:rPr>
        <w:t> </w:t>
      </w:r>
      <w:r>
        <w:rPr/>
        <w:t>female</w:t>
      </w:r>
      <w:r>
        <w:rPr>
          <w:spacing w:val="-1"/>
        </w:rPr>
        <w:t> </w:t>
      </w:r>
      <w:r>
        <w:rPr/>
        <w:t>gender</w:t>
      </w:r>
      <w:r>
        <w:rPr>
          <w:spacing w:val="-1"/>
        </w:rPr>
        <w:t> </w:t>
      </w:r>
      <w:r>
        <w:rPr/>
        <w:t>and positive change in knowledge score were significant predictors for intending to participate in screening. </w:t>
      </w:r>
      <w:r>
        <w:rPr>
          <w:b/>
        </w:rPr>
        <w:t>Conclusion</w:t>
      </w:r>
      <w:r>
        <w:rPr/>
        <w:t>: The study highlighted the effectiveness of tailored education in addressing cultural and linguistic needs of the community. Moreover, it demonstrated the education’s potential for moving participants with limited CRC screening knowledge to intend to screen.</w:t>
      </w:r>
    </w:p>
    <w:p>
      <w:pPr>
        <w:spacing w:line="230" w:lineRule="exact" w:before="253"/>
        <w:ind w:left="240" w:right="0" w:firstLine="0"/>
        <w:jc w:val="both"/>
        <w:rPr>
          <w:sz w:val="20"/>
        </w:rPr>
      </w:pPr>
      <w:r>
        <w:rPr>
          <w:sz w:val="20"/>
        </w:rPr>
        <w:t>©</w:t>
      </w:r>
      <w:r>
        <w:rPr>
          <w:spacing w:val="-6"/>
          <w:sz w:val="20"/>
        </w:rPr>
        <w:t> </w:t>
      </w:r>
      <w:r>
        <w:rPr>
          <w:sz w:val="20"/>
        </w:rPr>
        <w:t>2013</w:t>
      </w:r>
      <w:r>
        <w:rPr>
          <w:spacing w:val="-4"/>
          <w:sz w:val="20"/>
        </w:rPr>
        <w:t> </w:t>
      </w:r>
      <w:r>
        <w:rPr>
          <w:sz w:val="20"/>
        </w:rPr>
        <w:t>Californian</w:t>
      </w:r>
      <w:r>
        <w:rPr>
          <w:spacing w:val="-5"/>
          <w:sz w:val="20"/>
        </w:rPr>
        <w:t> </w:t>
      </w:r>
      <w:r>
        <w:rPr>
          <w:sz w:val="20"/>
        </w:rPr>
        <w:t>Journal</w:t>
      </w:r>
      <w:r>
        <w:rPr>
          <w:spacing w:val="-5"/>
          <w:sz w:val="20"/>
        </w:rPr>
        <w:t> </w:t>
      </w:r>
      <w:r>
        <w:rPr>
          <w:sz w:val="20"/>
        </w:rPr>
        <w:t>of</w:t>
      </w:r>
      <w:r>
        <w:rPr>
          <w:spacing w:val="-5"/>
          <w:sz w:val="20"/>
        </w:rPr>
        <w:t> </w:t>
      </w:r>
      <w:r>
        <w:rPr>
          <w:sz w:val="20"/>
        </w:rPr>
        <w:t>Health</w:t>
      </w:r>
      <w:r>
        <w:rPr>
          <w:spacing w:val="-5"/>
          <w:sz w:val="20"/>
        </w:rPr>
        <w:t> </w:t>
      </w:r>
      <w:r>
        <w:rPr>
          <w:sz w:val="20"/>
        </w:rPr>
        <w:t>Promotion.</w:t>
      </w:r>
      <w:r>
        <w:rPr>
          <w:spacing w:val="-4"/>
          <w:sz w:val="20"/>
        </w:rPr>
        <w:t> </w:t>
      </w:r>
      <w:r>
        <w:rPr>
          <w:sz w:val="20"/>
        </w:rPr>
        <w:t>All</w:t>
      </w:r>
      <w:r>
        <w:rPr>
          <w:spacing w:val="-6"/>
          <w:sz w:val="20"/>
        </w:rPr>
        <w:t> </w:t>
      </w:r>
      <w:r>
        <w:rPr>
          <w:sz w:val="20"/>
        </w:rPr>
        <w:t>rights</w:t>
      </w:r>
      <w:r>
        <w:rPr>
          <w:spacing w:val="-5"/>
          <w:sz w:val="20"/>
        </w:rPr>
        <w:t> </w:t>
      </w:r>
      <w:r>
        <w:rPr>
          <w:spacing w:val="-2"/>
          <w:sz w:val="20"/>
        </w:rPr>
        <w:t>reserved.</w:t>
      </w:r>
    </w:p>
    <w:p>
      <w:pPr>
        <w:spacing w:before="0"/>
        <w:ind w:left="240" w:right="579" w:firstLine="0"/>
        <w:jc w:val="left"/>
        <w:rPr>
          <w:i/>
          <w:sz w:val="20"/>
        </w:rPr>
      </w:pPr>
      <w:r>
        <w:rPr>
          <w:i/>
          <w:sz w:val="20"/>
        </w:rPr>
        <w:t>Keywords:</w:t>
      </w:r>
      <w:r>
        <w:rPr>
          <w:i/>
          <w:spacing w:val="-4"/>
          <w:sz w:val="20"/>
        </w:rPr>
        <w:t> </w:t>
      </w:r>
      <w:r>
        <w:rPr>
          <w:i/>
          <w:sz w:val="20"/>
        </w:rPr>
        <w:t>community-based</w:t>
      </w:r>
      <w:r>
        <w:rPr>
          <w:i/>
          <w:spacing w:val="-4"/>
          <w:sz w:val="20"/>
        </w:rPr>
        <w:t> </w:t>
      </w:r>
      <w:r>
        <w:rPr>
          <w:i/>
          <w:sz w:val="20"/>
        </w:rPr>
        <w:t>participatory</w:t>
      </w:r>
      <w:r>
        <w:rPr>
          <w:i/>
          <w:spacing w:val="-4"/>
          <w:sz w:val="20"/>
        </w:rPr>
        <w:t> </w:t>
      </w:r>
      <w:r>
        <w:rPr>
          <w:i/>
          <w:sz w:val="20"/>
        </w:rPr>
        <w:t>research,</w:t>
      </w:r>
      <w:r>
        <w:rPr>
          <w:i/>
          <w:spacing w:val="-4"/>
          <w:sz w:val="20"/>
        </w:rPr>
        <w:t> </w:t>
      </w:r>
      <w:r>
        <w:rPr>
          <w:i/>
          <w:sz w:val="20"/>
        </w:rPr>
        <w:t>Pacific</w:t>
      </w:r>
      <w:r>
        <w:rPr>
          <w:i/>
          <w:spacing w:val="-4"/>
          <w:sz w:val="20"/>
        </w:rPr>
        <w:t> </w:t>
      </w:r>
      <w:r>
        <w:rPr>
          <w:i/>
          <w:sz w:val="20"/>
        </w:rPr>
        <w:t>Islander,</w:t>
      </w:r>
      <w:r>
        <w:rPr>
          <w:i/>
          <w:spacing w:val="-4"/>
          <w:sz w:val="20"/>
        </w:rPr>
        <w:t> </w:t>
      </w:r>
      <w:r>
        <w:rPr>
          <w:i/>
          <w:sz w:val="20"/>
        </w:rPr>
        <w:t>colorectal</w:t>
      </w:r>
      <w:r>
        <w:rPr>
          <w:i/>
          <w:spacing w:val="-4"/>
          <w:sz w:val="20"/>
        </w:rPr>
        <w:t> </w:t>
      </w:r>
      <w:r>
        <w:rPr>
          <w:i/>
          <w:sz w:val="20"/>
        </w:rPr>
        <w:t>cancer,</w:t>
      </w:r>
      <w:r>
        <w:rPr>
          <w:i/>
          <w:spacing w:val="-4"/>
          <w:sz w:val="20"/>
        </w:rPr>
        <w:t> </w:t>
      </w:r>
      <w:r>
        <w:rPr>
          <w:i/>
          <w:sz w:val="20"/>
        </w:rPr>
        <w:t>knowledge,</w:t>
      </w:r>
      <w:r>
        <w:rPr>
          <w:i/>
          <w:spacing w:val="-4"/>
          <w:sz w:val="20"/>
        </w:rPr>
        <w:t> </w:t>
      </w:r>
      <w:r>
        <w:rPr>
          <w:i/>
          <w:sz w:val="20"/>
        </w:rPr>
        <w:t>beliefs</w:t>
      </w:r>
      <w:r>
        <w:rPr>
          <w:i/>
          <w:spacing w:val="-4"/>
          <w:sz w:val="20"/>
        </w:rPr>
        <w:t> </w:t>
      </w:r>
      <w:r>
        <w:rPr>
          <w:i/>
          <w:sz w:val="20"/>
        </w:rPr>
        <w:t>and</w:t>
      </w:r>
      <w:r>
        <w:rPr>
          <w:i/>
          <w:sz w:val="20"/>
        </w:rPr>
        <w:t> intentions, cancer education</w:t>
      </w:r>
    </w:p>
    <w:p>
      <w:pPr>
        <w:pStyle w:val="BodyText"/>
        <w:spacing w:before="185"/>
        <w:rPr>
          <w:i/>
          <w:sz w:val="20"/>
        </w:rPr>
      </w:pPr>
    </w:p>
    <w:p>
      <w:pPr>
        <w:spacing w:after="0"/>
        <w:rPr>
          <w:sz w:val="20"/>
        </w:rPr>
        <w:sectPr>
          <w:headerReference w:type="default" r:id="rId5"/>
          <w:footerReference w:type="default" r:id="rId6"/>
          <w:type w:val="continuous"/>
          <w:pgSz w:w="12240" w:h="15840"/>
          <w:pgMar w:header="723" w:footer="1065" w:top="1340" w:bottom="1260" w:left="1200" w:right="980"/>
          <w:pgNumType w:start="12"/>
        </w:sectPr>
      </w:pPr>
    </w:p>
    <w:p>
      <w:pPr>
        <w:pStyle w:val="Heading2"/>
        <w:spacing w:line="240" w:lineRule="auto" w:before="92"/>
        <w:ind w:left="198"/>
        <w:jc w:val="center"/>
      </w:pPr>
      <w:r>
        <w:rPr>
          <w:spacing w:val="-2"/>
        </w:rPr>
        <w:t>Introduction</w:t>
      </w:r>
    </w:p>
    <w:p>
      <w:pPr>
        <w:pStyle w:val="BodyText"/>
        <w:spacing w:before="252"/>
        <w:ind w:left="240" w:right="38"/>
        <w:jc w:val="both"/>
      </w:pPr>
      <w:r>
        <w:rPr/>
        <w:t>California is home to the largest Chamorro population in the United States. In 2010 there were an estimated 38,199 Chamorros residing in California: 21.6% spoke a language other than English at home, 12.1% had incomes below the poverty level, 11.5% with no health insurance, 4.7% were foreign born, and 12.2% had less</w:t>
      </w:r>
      <w:r>
        <w:rPr>
          <w:spacing w:val="40"/>
        </w:rPr>
        <w:t> </w:t>
      </w:r>
      <w:r>
        <w:rPr/>
        <w:t>than a high school degree (U.S. Census Bureau, </w:t>
      </w:r>
      <w:r>
        <w:rPr>
          <w:spacing w:val="-2"/>
        </w:rPr>
        <w:t>2010).</w:t>
      </w:r>
    </w:p>
    <w:p>
      <w:pPr>
        <w:pStyle w:val="BodyText"/>
      </w:pPr>
    </w:p>
    <w:p>
      <w:pPr>
        <w:pStyle w:val="BodyText"/>
        <w:ind w:left="240" w:right="40"/>
        <w:jc w:val="both"/>
      </w:pPr>
      <w:r>
        <w:rPr/>
        <w:t>Cancer is the second leading cause of death and</w:t>
      </w:r>
      <w:r>
        <w:rPr>
          <w:spacing w:val="40"/>
        </w:rPr>
        <w:t> </w:t>
      </w:r>
      <w:r>
        <w:rPr/>
        <w:t>a major public health concern in the United</w:t>
      </w:r>
    </w:p>
    <w:p>
      <w:pPr>
        <w:pStyle w:val="BodyText"/>
        <w:spacing w:before="91"/>
        <w:ind w:left="240" w:right="454"/>
        <w:jc w:val="both"/>
      </w:pPr>
      <w:r>
        <w:rPr/>
        <w:br w:type="column"/>
      </w:r>
      <w:r>
        <w:rPr/>
        <w:t>States. Of cancers affecting both men and women, colorectal cancer (CRC) is the second leading cause of cancer incidence and mortality in the United States (44.4 per 100,000 and 16.3 respectively; U.S. Cancer Statistics Working Group, 2012). Pacific Islanders experience relatively higher rates of cancer incidence and mortality</w:t>
      </w:r>
      <w:r>
        <w:rPr>
          <w:spacing w:val="-5"/>
        </w:rPr>
        <w:t> </w:t>
      </w:r>
      <w:r>
        <w:rPr/>
        <w:t>compared</w:t>
      </w:r>
      <w:r>
        <w:rPr>
          <w:spacing w:val="-6"/>
        </w:rPr>
        <w:t> </w:t>
      </w:r>
      <w:r>
        <w:rPr/>
        <w:t>to</w:t>
      </w:r>
      <w:r>
        <w:rPr>
          <w:spacing w:val="-6"/>
        </w:rPr>
        <w:t> </w:t>
      </w:r>
      <w:r>
        <w:rPr/>
        <w:t>other</w:t>
      </w:r>
      <w:r>
        <w:rPr>
          <w:spacing w:val="-6"/>
        </w:rPr>
        <w:t> </w:t>
      </w:r>
      <w:r>
        <w:rPr/>
        <w:t>racial/ethnic</w:t>
      </w:r>
      <w:r>
        <w:rPr>
          <w:spacing w:val="-6"/>
        </w:rPr>
        <w:t> </w:t>
      </w:r>
      <w:r>
        <w:rPr/>
        <w:t>groups. Recent data from Miller, Chu, Hankey, and Ries (2008) using Surveillance, Epidemiology, and End Results registries from 1998 to 2002 reported cancer incidence and mortality for disaggregated Pacific Islander groups. For instance,</w:t>
      </w:r>
      <w:r>
        <w:rPr>
          <w:spacing w:val="17"/>
        </w:rPr>
        <w:t> </w:t>
      </w:r>
      <w:r>
        <w:rPr/>
        <w:t>they</w:t>
      </w:r>
      <w:r>
        <w:rPr>
          <w:spacing w:val="20"/>
        </w:rPr>
        <w:t> </w:t>
      </w:r>
      <w:r>
        <w:rPr/>
        <w:t>reported</w:t>
      </w:r>
      <w:r>
        <w:rPr>
          <w:spacing w:val="18"/>
        </w:rPr>
        <w:t> </w:t>
      </w:r>
      <w:r>
        <w:rPr/>
        <w:t>CRC</w:t>
      </w:r>
      <w:r>
        <w:rPr>
          <w:spacing w:val="17"/>
        </w:rPr>
        <w:t> </w:t>
      </w:r>
      <w:r>
        <w:rPr/>
        <w:t>incidence</w:t>
      </w:r>
      <w:r>
        <w:rPr>
          <w:spacing w:val="18"/>
        </w:rPr>
        <w:t> </w:t>
      </w:r>
      <w:r>
        <w:rPr/>
        <w:t>rates</w:t>
      </w:r>
      <w:r>
        <w:rPr>
          <w:spacing w:val="18"/>
        </w:rPr>
        <w:t> </w:t>
      </w:r>
      <w:r>
        <w:rPr>
          <w:spacing w:val="-5"/>
        </w:rPr>
        <w:t>for</w:t>
      </w:r>
    </w:p>
    <w:p>
      <w:pPr>
        <w:spacing w:after="0"/>
        <w:jc w:val="both"/>
        <w:sectPr>
          <w:type w:val="continuous"/>
          <w:pgSz w:w="12240" w:h="15840"/>
          <w:pgMar w:header="723" w:footer="1065" w:top="1340" w:bottom="1260" w:left="1200" w:right="980"/>
          <w:cols w:num="2" w:equalWidth="0">
            <w:col w:w="4602" w:space="438"/>
            <w:col w:w="5020"/>
          </w:cols>
        </w:sectPr>
      </w:pPr>
    </w:p>
    <w:p>
      <w:pPr>
        <w:pStyle w:val="BodyText"/>
        <w:spacing w:before="81"/>
        <w:ind w:left="240"/>
        <w:jc w:val="both"/>
      </w:pPr>
      <w:r>
        <w:rPr/>
        <w:t>Native</w:t>
      </w:r>
      <w:r>
        <w:rPr>
          <w:spacing w:val="54"/>
        </w:rPr>
        <w:t> </w:t>
      </w:r>
      <w:r>
        <w:rPr/>
        <w:t>Hawaiian</w:t>
      </w:r>
      <w:r>
        <w:rPr>
          <w:spacing w:val="54"/>
        </w:rPr>
        <w:t> </w:t>
      </w:r>
      <w:r>
        <w:rPr/>
        <w:t>(44.0</w:t>
      </w:r>
      <w:r>
        <w:rPr>
          <w:spacing w:val="53"/>
        </w:rPr>
        <w:t> </w:t>
      </w:r>
      <w:r>
        <w:rPr/>
        <w:t>per</w:t>
      </w:r>
      <w:r>
        <w:rPr>
          <w:spacing w:val="54"/>
        </w:rPr>
        <w:t> </w:t>
      </w:r>
      <w:r>
        <w:rPr/>
        <w:t>100,000;</w:t>
      </w:r>
      <w:r>
        <w:rPr>
          <w:spacing w:val="53"/>
        </w:rPr>
        <w:t> </w:t>
      </w:r>
      <w:r>
        <w:rPr/>
        <w:t>95%</w:t>
      </w:r>
      <w:r>
        <w:rPr>
          <w:spacing w:val="53"/>
        </w:rPr>
        <w:t> </w:t>
      </w:r>
      <w:r>
        <w:rPr>
          <w:spacing w:val="-5"/>
        </w:rPr>
        <w:t>CI:</w:t>
      </w:r>
    </w:p>
    <w:p>
      <w:pPr>
        <w:pStyle w:val="BodyText"/>
        <w:ind w:left="240"/>
        <w:jc w:val="both"/>
      </w:pPr>
      <w:r>
        <w:rPr/>
        <w:t>37.3,</w:t>
      </w:r>
      <w:r>
        <w:rPr>
          <w:spacing w:val="78"/>
          <w:w w:val="150"/>
        </w:rPr>
        <w:t> </w:t>
      </w:r>
      <w:r>
        <w:rPr/>
        <w:t>51.6)</w:t>
      </w:r>
      <w:r>
        <w:rPr>
          <w:spacing w:val="78"/>
          <w:w w:val="150"/>
        </w:rPr>
        <w:t> </w:t>
      </w:r>
      <w:r>
        <w:rPr/>
        <w:t>and</w:t>
      </w:r>
      <w:r>
        <w:rPr>
          <w:spacing w:val="26"/>
        </w:rPr>
        <w:t>  </w:t>
      </w:r>
      <w:r>
        <w:rPr/>
        <w:t>Samoan</w:t>
      </w:r>
      <w:r>
        <w:rPr>
          <w:spacing w:val="26"/>
        </w:rPr>
        <w:t>  </w:t>
      </w:r>
      <w:r>
        <w:rPr/>
        <w:t>women</w:t>
      </w:r>
      <w:r>
        <w:rPr>
          <w:spacing w:val="27"/>
        </w:rPr>
        <w:t>  </w:t>
      </w:r>
      <w:r>
        <w:rPr/>
        <w:t>(38.6</w:t>
      </w:r>
      <w:r>
        <w:rPr>
          <w:spacing w:val="26"/>
        </w:rPr>
        <w:t>  </w:t>
      </w:r>
      <w:r>
        <w:rPr>
          <w:spacing w:val="-5"/>
        </w:rPr>
        <w:t>per</w:t>
      </w:r>
    </w:p>
    <w:p>
      <w:pPr>
        <w:pStyle w:val="BodyText"/>
        <w:spacing w:line="252" w:lineRule="exact"/>
        <w:ind w:left="240"/>
        <w:jc w:val="both"/>
      </w:pPr>
      <w:r>
        <w:rPr/>
        <w:t>100,000;</w:t>
      </w:r>
      <w:r>
        <w:rPr>
          <w:spacing w:val="38"/>
        </w:rPr>
        <w:t>  </w:t>
      </w:r>
      <w:r>
        <w:rPr/>
        <w:t>95%</w:t>
      </w:r>
      <w:r>
        <w:rPr>
          <w:spacing w:val="38"/>
        </w:rPr>
        <w:t>  </w:t>
      </w:r>
      <w:r>
        <w:rPr/>
        <w:t>CI:</w:t>
      </w:r>
      <w:r>
        <w:rPr>
          <w:spacing w:val="38"/>
        </w:rPr>
        <w:t>  </w:t>
      </w:r>
      <w:r>
        <w:rPr/>
        <w:t>24.1,</w:t>
      </w:r>
      <w:r>
        <w:rPr>
          <w:spacing w:val="38"/>
        </w:rPr>
        <w:t>  </w:t>
      </w:r>
      <w:r>
        <w:rPr/>
        <w:t>60.5),</w:t>
      </w:r>
      <w:r>
        <w:rPr>
          <w:spacing w:val="38"/>
        </w:rPr>
        <w:t>  </w:t>
      </w:r>
      <w:r>
        <w:rPr/>
        <w:t>and</w:t>
      </w:r>
      <w:r>
        <w:rPr>
          <w:spacing w:val="38"/>
        </w:rPr>
        <w:t>  </w:t>
      </w:r>
      <w:r>
        <w:rPr>
          <w:spacing w:val="-5"/>
        </w:rPr>
        <w:t>CRC</w:t>
      </w:r>
    </w:p>
    <w:p>
      <w:pPr>
        <w:pStyle w:val="BodyText"/>
        <w:ind w:left="240" w:right="39"/>
        <w:jc w:val="both"/>
      </w:pPr>
      <w:r>
        <w:rPr/>
        <w:t>mortality rates for Native Hawaiian women</w:t>
      </w:r>
      <w:r>
        <w:rPr>
          <w:spacing w:val="40"/>
        </w:rPr>
        <w:t> </w:t>
      </w:r>
      <w:r>
        <w:rPr/>
        <w:t>(13.1</w:t>
      </w:r>
      <w:r>
        <w:rPr>
          <w:spacing w:val="47"/>
        </w:rPr>
        <w:t> </w:t>
      </w:r>
      <w:r>
        <w:rPr/>
        <w:t>per</w:t>
      </w:r>
      <w:r>
        <w:rPr>
          <w:spacing w:val="47"/>
        </w:rPr>
        <w:t> </w:t>
      </w:r>
      <w:r>
        <w:rPr/>
        <w:t>100,000;</w:t>
      </w:r>
      <w:r>
        <w:rPr>
          <w:spacing w:val="47"/>
        </w:rPr>
        <w:t> </w:t>
      </w:r>
      <w:r>
        <w:rPr/>
        <w:t>95%</w:t>
      </w:r>
      <w:r>
        <w:rPr>
          <w:spacing w:val="46"/>
        </w:rPr>
        <w:t> </w:t>
      </w:r>
      <w:r>
        <w:rPr/>
        <w:t>CI:</w:t>
      </w:r>
      <w:r>
        <w:rPr>
          <w:spacing w:val="48"/>
        </w:rPr>
        <w:t> </w:t>
      </w:r>
      <w:r>
        <w:rPr/>
        <w:t>9.5,</w:t>
      </w:r>
      <w:r>
        <w:rPr>
          <w:spacing w:val="47"/>
        </w:rPr>
        <w:t> </w:t>
      </w:r>
      <w:r>
        <w:rPr/>
        <w:t>17.7).</w:t>
      </w:r>
      <w:r>
        <w:rPr>
          <w:spacing w:val="47"/>
        </w:rPr>
        <w:t> </w:t>
      </w:r>
      <w:r>
        <w:rPr>
          <w:spacing w:val="-2"/>
        </w:rPr>
        <w:t>These</w:t>
      </w:r>
    </w:p>
    <w:p>
      <w:pPr>
        <w:pStyle w:val="BodyText"/>
        <w:ind w:left="240" w:right="38"/>
        <w:jc w:val="both"/>
      </w:pPr>
      <w:r>
        <w:rPr/>
        <w:t>rates</w:t>
      </w:r>
      <w:r>
        <w:rPr>
          <w:spacing w:val="-5"/>
        </w:rPr>
        <w:t> </w:t>
      </w:r>
      <w:r>
        <w:rPr/>
        <w:t>underscore</w:t>
      </w:r>
      <w:r>
        <w:rPr>
          <w:spacing w:val="-5"/>
        </w:rPr>
        <w:t> </w:t>
      </w:r>
      <w:r>
        <w:rPr/>
        <w:t>the</w:t>
      </w:r>
      <w:r>
        <w:rPr>
          <w:spacing w:val="-5"/>
        </w:rPr>
        <w:t> </w:t>
      </w:r>
      <w:r>
        <w:rPr/>
        <w:t>importance</w:t>
      </w:r>
      <w:r>
        <w:rPr>
          <w:spacing w:val="-5"/>
        </w:rPr>
        <w:t> </w:t>
      </w:r>
      <w:r>
        <w:rPr/>
        <w:t>of</w:t>
      </w:r>
      <w:r>
        <w:rPr>
          <w:spacing w:val="-5"/>
        </w:rPr>
        <w:t> </w:t>
      </w:r>
      <w:r>
        <w:rPr/>
        <w:t>screening</w:t>
      </w:r>
      <w:r>
        <w:rPr>
          <w:spacing w:val="-5"/>
        </w:rPr>
        <w:t> </w:t>
      </w:r>
      <w:r>
        <w:rPr/>
        <w:t>and early detection to address CRC </w:t>
      </w:r>
      <w:r>
        <w:rPr/>
        <w:t>health</w:t>
      </w:r>
      <w:r>
        <w:rPr>
          <w:spacing w:val="80"/>
        </w:rPr>
        <w:t> </w:t>
      </w:r>
      <w:r>
        <w:rPr>
          <w:spacing w:val="-2"/>
        </w:rPr>
        <w:t>disparities.</w:t>
      </w:r>
    </w:p>
    <w:p>
      <w:pPr>
        <w:pStyle w:val="BodyText"/>
        <w:spacing w:before="1"/>
      </w:pPr>
    </w:p>
    <w:p>
      <w:pPr>
        <w:pStyle w:val="Heading2"/>
        <w:jc w:val="both"/>
      </w:pPr>
      <w:r>
        <w:rPr/>
        <w:t>Colorectal</w:t>
      </w:r>
      <w:r>
        <w:rPr>
          <w:spacing w:val="-10"/>
        </w:rPr>
        <w:t> </w:t>
      </w:r>
      <w:r>
        <w:rPr>
          <w:spacing w:val="-2"/>
        </w:rPr>
        <w:t>Screening</w:t>
      </w:r>
    </w:p>
    <w:p>
      <w:pPr>
        <w:pStyle w:val="BodyText"/>
        <w:ind w:left="240" w:right="38"/>
        <w:jc w:val="both"/>
      </w:pPr>
      <w:r>
        <w:rPr/>
        <w:t>Regular CRC screening should begin at age 50 and continue until age 75; screening procedures include sigmoidoscopy, colonoscopy, and fecal occult blood testing (FOBT; U.S. Preventive Services Task Force, 2008). According to the Centers for Disease Control and Prevention (n.d.), the removal of precancerous polyps can prevent the onset of CRC. Unfortunately, many Pacific Islanders underutilize CRC screening; they have one of the lowest screening </w:t>
      </w:r>
      <w:r>
        <w:rPr/>
        <w:t>rates compared to other racial/ethnic groups (Lee, Lundquist, Ju, Luo, &amp; Townsend, 2011). In 2008, 39% of Native Hawaiian and Pacific Islander adults 50 years and older did not</w:t>
      </w:r>
      <w:r>
        <w:rPr>
          <w:spacing w:val="40"/>
        </w:rPr>
        <w:t> </w:t>
      </w:r>
      <w:r>
        <w:rPr/>
        <w:t>receive a blood stool test in the past two years (Agency for Healthcare Research and Quality, </w:t>
      </w:r>
      <w:r>
        <w:rPr>
          <w:spacing w:val="-2"/>
        </w:rPr>
        <w:t>2010).</w:t>
      </w:r>
    </w:p>
    <w:p>
      <w:pPr>
        <w:pStyle w:val="BodyText"/>
        <w:spacing w:before="1"/>
      </w:pPr>
    </w:p>
    <w:p>
      <w:pPr>
        <w:pStyle w:val="Heading2"/>
        <w:spacing w:line="240" w:lineRule="auto"/>
        <w:ind w:right="40"/>
        <w:jc w:val="both"/>
      </w:pPr>
      <w:r>
        <w:rPr/>
        <w:t>Knowledge, Attitudes, and Beliefs Regarding Cancer Screening</w:t>
      </w:r>
    </w:p>
    <w:p>
      <w:pPr>
        <w:pStyle w:val="BodyText"/>
        <w:ind w:left="240" w:right="38"/>
        <w:jc w:val="both"/>
      </w:pPr>
      <w:r>
        <w:rPr/>
        <w:t>Studies have shown that knowledge, attitudes and beliefs (KABs) can facilitate or impede healthcare access and contribute to cancer screening disparities. For instance, findings by James, Daley, and Greiner (2011) indicated that low CRC knowledge and negative screening beliefs were associated with lower </w:t>
      </w:r>
      <w:r>
        <w:rPr/>
        <w:t>CRC screening among African American men. Moreover, KABs of cancer screening vary among communities and subgroups. Although studies specific to Pacific Islanders are limited, Dang, Lee, and Tran (2010) found differences in KABs among four disaggregated Asian American and Pacific Islander groups of women in California. These findings suggest that knowledge and beliefs can act as a barrier to healthcare</w:t>
      </w:r>
      <w:r>
        <w:rPr>
          <w:spacing w:val="-2"/>
        </w:rPr>
        <w:t> </w:t>
      </w:r>
      <w:r>
        <w:rPr/>
        <w:t>access,</w:t>
      </w:r>
      <w:r>
        <w:rPr>
          <w:spacing w:val="-2"/>
        </w:rPr>
        <w:t> </w:t>
      </w:r>
      <w:r>
        <w:rPr/>
        <w:t>and</w:t>
      </w:r>
      <w:r>
        <w:rPr>
          <w:spacing w:val="-3"/>
        </w:rPr>
        <w:t> </w:t>
      </w:r>
      <w:r>
        <w:rPr/>
        <w:t>that</w:t>
      </w:r>
      <w:r>
        <w:rPr>
          <w:spacing w:val="-3"/>
        </w:rPr>
        <w:t> </w:t>
      </w:r>
      <w:r>
        <w:rPr/>
        <w:t>there</w:t>
      </w:r>
      <w:r>
        <w:rPr>
          <w:spacing w:val="-3"/>
        </w:rPr>
        <w:t> </w:t>
      </w:r>
      <w:r>
        <w:rPr/>
        <w:t>are</w:t>
      </w:r>
      <w:r>
        <w:rPr>
          <w:spacing w:val="-3"/>
        </w:rPr>
        <w:t> </w:t>
      </w:r>
      <w:r>
        <w:rPr/>
        <w:t>variations</w:t>
      </w:r>
      <w:r>
        <w:rPr>
          <w:spacing w:val="-3"/>
        </w:rPr>
        <w:t> </w:t>
      </w:r>
      <w:r>
        <w:rPr/>
        <w:t>in KABs specific to subpopulations. Such findings suggest the development of specific</w:t>
      </w:r>
      <w:r>
        <w:rPr>
          <w:spacing w:val="40"/>
        </w:rPr>
        <w:t> </w:t>
      </w:r>
      <w:r>
        <w:rPr/>
        <w:t>interventions</w:t>
      </w:r>
      <w:r>
        <w:rPr>
          <w:spacing w:val="65"/>
        </w:rPr>
        <w:t>  </w:t>
      </w:r>
      <w:r>
        <w:rPr/>
        <w:t>aimed</w:t>
      </w:r>
      <w:r>
        <w:rPr>
          <w:spacing w:val="66"/>
        </w:rPr>
        <w:t>  </w:t>
      </w:r>
      <w:r>
        <w:rPr/>
        <w:t>at</w:t>
      </w:r>
      <w:r>
        <w:rPr>
          <w:spacing w:val="66"/>
        </w:rPr>
        <w:t>  </w:t>
      </w:r>
      <w:r>
        <w:rPr/>
        <w:t>increasing</w:t>
      </w:r>
      <w:r>
        <w:rPr>
          <w:spacing w:val="66"/>
        </w:rPr>
        <w:t>  </w:t>
      </w:r>
      <w:r>
        <w:rPr>
          <w:spacing w:val="-2"/>
        </w:rPr>
        <w:t>cancer</w:t>
      </w:r>
    </w:p>
    <w:p>
      <w:pPr>
        <w:pStyle w:val="BodyText"/>
        <w:spacing w:before="81"/>
        <w:ind w:left="240" w:right="454"/>
      </w:pPr>
      <w:r>
        <w:rPr/>
        <w:br w:type="column"/>
      </w:r>
      <w:r>
        <w:rPr/>
        <w:t>screening</w:t>
      </w:r>
      <w:r>
        <w:rPr>
          <w:spacing w:val="80"/>
        </w:rPr>
        <w:t> </w:t>
      </w:r>
      <w:r>
        <w:rPr/>
        <w:t>knowledge</w:t>
      </w:r>
      <w:r>
        <w:rPr>
          <w:spacing w:val="80"/>
        </w:rPr>
        <w:t> </w:t>
      </w:r>
      <w:r>
        <w:rPr/>
        <w:t>and</w:t>
      </w:r>
      <w:r>
        <w:rPr>
          <w:spacing w:val="80"/>
        </w:rPr>
        <w:t> </w:t>
      </w:r>
      <w:r>
        <w:rPr/>
        <w:t>beliefs</w:t>
      </w:r>
      <w:r>
        <w:rPr>
          <w:spacing w:val="80"/>
        </w:rPr>
        <w:t> </w:t>
      </w:r>
      <w:r>
        <w:rPr/>
        <w:t>to</w:t>
      </w:r>
      <w:r>
        <w:rPr>
          <w:spacing w:val="80"/>
        </w:rPr>
        <w:t> </w:t>
      </w:r>
      <w:r>
        <w:rPr/>
        <w:t>address cancer health disparities.</w:t>
      </w:r>
    </w:p>
    <w:p>
      <w:pPr>
        <w:pStyle w:val="BodyText"/>
      </w:pPr>
    </w:p>
    <w:p>
      <w:pPr>
        <w:pStyle w:val="BodyText"/>
        <w:tabs>
          <w:tab w:pos="1054" w:val="left" w:leader="none"/>
          <w:tab w:pos="1089" w:val="left" w:leader="none"/>
          <w:tab w:pos="1494" w:val="left" w:leader="none"/>
          <w:tab w:pos="1858" w:val="left" w:leader="none"/>
          <w:tab w:pos="2090" w:val="left" w:leader="none"/>
          <w:tab w:pos="2195" w:val="left" w:leader="none"/>
          <w:tab w:pos="2714" w:val="left" w:leader="none"/>
          <w:tab w:pos="2821" w:val="left" w:leader="none"/>
          <w:tab w:pos="2918" w:val="left" w:leader="none"/>
          <w:tab w:pos="3449" w:val="left" w:leader="none"/>
          <w:tab w:pos="3711" w:val="left" w:leader="none"/>
          <w:tab w:pos="3838" w:val="left" w:leader="none"/>
          <w:tab w:pos="4242" w:val="left" w:leader="none"/>
          <w:tab w:pos="4463" w:val="left" w:leader="none"/>
        </w:tabs>
        <w:ind w:left="240" w:right="455"/>
      </w:pPr>
      <w:r>
        <w:rPr>
          <w:b/>
        </w:rPr>
        <w:t>Colorectal</w:t>
      </w:r>
      <w:r>
        <w:rPr>
          <w:b/>
          <w:spacing w:val="80"/>
        </w:rPr>
        <w:t> </w:t>
      </w:r>
      <w:r>
        <w:rPr>
          <w:b/>
        </w:rPr>
        <w:t>Screening</w:t>
      </w:r>
      <w:r>
        <w:rPr>
          <w:b/>
          <w:spacing w:val="80"/>
        </w:rPr>
        <w:t> </w:t>
      </w:r>
      <w:r>
        <w:rPr>
          <w:b/>
        </w:rPr>
        <w:t>Interventions</w:t>
      </w:r>
      <w:r>
        <w:rPr>
          <w:b/>
          <w:spacing w:val="80"/>
        </w:rPr>
        <w:t> </w:t>
      </w:r>
      <w:r>
        <w:rPr>
          <w:b/>
        </w:rPr>
        <w:t>among Chamorros and Other Pacific Islanders </w:t>
      </w:r>
      <w:r>
        <w:rPr/>
        <w:t>Southern</w:t>
      </w:r>
      <w:r>
        <w:rPr>
          <w:spacing w:val="40"/>
        </w:rPr>
        <w:t> </w:t>
      </w:r>
      <w:r>
        <w:rPr/>
        <w:t>California</w:t>
      </w:r>
      <w:r>
        <w:rPr>
          <w:spacing w:val="40"/>
        </w:rPr>
        <w:t> </w:t>
      </w:r>
      <w:r>
        <w:rPr/>
        <w:t>is</w:t>
      </w:r>
      <w:r>
        <w:rPr>
          <w:spacing w:val="40"/>
        </w:rPr>
        <w:t> </w:t>
      </w:r>
      <w:r>
        <w:rPr/>
        <w:t>home</w:t>
      </w:r>
      <w:r>
        <w:rPr>
          <w:spacing w:val="40"/>
        </w:rPr>
        <w:t> </w:t>
      </w:r>
      <w:r>
        <w:rPr/>
        <w:t>to</w:t>
      </w:r>
      <w:r>
        <w:rPr>
          <w:spacing w:val="40"/>
        </w:rPr>
        <w:t> </w:t>
      </w:r>
      <w:r>
        <w:rPr/>
        <w:t>an</w:t>
      </w:r>
      <w:r>
        <w:rPr>
          <w:spacing w:val="40"/>
        </w:rPr>
        <w:t> </w:t>
      </w:r>
      <w:r>
        <w:rPr/>
        <w:t>estimated 17,885 Chamorros (U.S. Census Bureau, 2000). Relatively little is known about Chamorro CRC incidence, mortality, and screening rates as well as</w:t>
      </w:r>
      <w:r>
        <w:rPr>
          <w:spacing w:val="40"/>
        </w:rPr>
        <w:t> </w:t>
      </w:r>
      <w:r>
        <w:rPr/>
        <w:t>KABs</w:t>
      </w:r>
      <w:r>
        <w:rPr>
          <w:spacing w:val="40"/>
        </w:rPr>
        <w:t> </w:t>
      </w:r>
      <w:r>
        <w:rPr/>
        <w:t>among</w:t>
      </w:r>
      <w:r>
        <w:rPr>
          <w:spacing w:val="40"/>
        </w:rPr>
        <w:t> </w:t>
      </w:r>
      <w:r>
        <w:rPr/>
        <w:t>Chamorros</w:t>
      </w:r>
      <w:r>
        <w:rPr>
          <w:spacing w:val="40"/>
        </w:rPr>
        <w:t> </w:t>
      </w:r>
      <w:r>
        <w:rPr/>
        <w:t>and</w:t>
      </w:r>
      <w:r>
        <w:rPr>
          <w:spacing w:val="40"/>
        </w:rPr>
        <w:t> </w:t>
      </w:r>
      <w:r>
        <w:rPr/>
        <w:t>other</w:t>
      </w:r>
      <w:r>
        <w:rPr>
          <w:spacing w:val="40"/>
        </w:rPr>
        <w:t> </w:t>
      </w:r>
      <w:r>
        <w:rPr/>
        <w:t>Pacific Islanders.</w:t>
      </w:r>
      <w:r>
        <w:rPr>
          <w:spacing w:val="80"/>
        </w:rPr>
        <w:t> </w:t>
      </w:r>
      <w:r>
        <w:rPr/>
        <w:t>Nevertheless,</w:t>
      </w:r>
      <w:r>
        <w:rPr>
          <w:spacing w:val="80"/>
        </w:rPr>
        <w:t> </w:t>
      </w:r>
      <w:r>
        <w:rPr/>
        <w:t>studies</w:t>
      </w:r>
      <w:r>
        <w:rPr>
          <w:spacing w:val="80"/>
        </w:rPr>
        <w:t> </w:t>
      </w:r>
      <w:r>
        <w:rPr/>
        <w:t>have</w:t>
      </w:r>
      <w:r>
        <w:rPr>
          <w:spacing w:val="80"/>
        </w:rPr>
        <w:t> </w:t>
      </w:r>
      <w:r>
        <w:rPr/>
        <w:t>shown culturally tailored interventions targeting KABs were effective at modifying screening and other health</w:t>
      </w:r>
      <w:r>
        <w:rPr>
          <w:spacing w:val="80"/>
        </w:rPr>
        <w:t> </w:t>
      </w:r>
      <w:r>
        <w:rPr/>
        <w:t>behaviors.</w:t>
      </w:r>
      <w:r>
        <w:rPr>
          <w:spacing w:val="80"/>
        </w:rPr>
        <w:t> </w:t>
      </w:r>
      <w:r>
        <w:rPr/>
        <w:t>For</w:t>
      </w:r>
      <w:r>
        <w:rPr>
          <w:spacing w:val="80"/>
        </w:rPr>
        <w:t> </w:t>
      </w:r>
      <w:r>
        <w:rPr/>
        <w:t>instance,</w:t>
      </w:r>
      <w:r>
        <w:rPr>
          <w:spacing w:val="80"/>
        </w:rPr>
        <w:t> </w:t>
      </w:r>
      <w:r>
        <w:rPr/>
        <w:t>tailoring</w:t>
      </w:r>
      <w:r>
        <w:rPr>
          <w:spacing w:val="80"/>
        </w:rPr>
        <w:t> </w:t>
      </w:r>
      <w:r>
        <w:rPr/>
        <w:t>an intervention</w:t>
      </w:r>
      <w:r>
        <w:rPr>
          <w:spacing w:val="80"/>
        </w:rPr>
        <w:t> </w:t>
      </w:r>
      <w:r>
        <w:rPr/>
        <w:t>and</w:t>
      </w:r>
      <w:r>
        <w:rPr>
          <w:spacing w:val="80"/>
        </w:rPr>
        <w:t> </w:t>
      </w:r>
      <w:r>
        <w:rPr/>
        <w:t>making</w:t>
      </w:r>
      <w:r>
        <w:rPr>
          <w:spacing w:val="80"/>
        </w:rPr>
        <w:t> </w:t>
      </w:r>
      <w:r>
        <w:rPr/>
        <w:t>it</w:t>
      </w:r>
      <w:r>
        <w:rPr>
          <w:spacing w:val="80"/>
        </w:rPr>
        <w:t> </w:t>
      </w:r>
      <w:r>
        <w:rPr/>
        <w:t>culturally</w:t>
        <w:tab/>
        <w:tab/>
      </w:r>
      <w:r>
        <w:rPr>
          <w:spacing w:val="-4"/>
        </w:rPr>
        <w:t>and </w:t>
      </w:r>
      <w:r>
        <w:rPr/>
        <w:t>linguistically appropriate to Chamorros has been effective</w:t>
      </w:r>
      <w:r>
        <w:rPr>
          <w:spacing w:val="80"/>
        </w:rPr>
        <w:t> </w:t>
      </w:r>
      <w:r>
        <w:rPr/>
        <w:t>in</w:t>
      </w:r>
      <w:r>
        <w:rPr>
          <w:spacing w:val="80"/>
        </w:rPr>
        <w:t> </w:t>
      </w:r>
      <w:r>
        <w:rPr/>
        <w:t>educating</w:t>
      </w:r>
      <w:r>
        <w:rPr>
          <w:spacing w:val="80"/>
        </w:rPr>
        <w:t> </w:t>
      </w:r>
      <w:r>
        <w:rPr/>
        <w:t>and</w:t>
      </w:r>
      <w:r>
        <w:rPr>
          <w:spacing w:val="80"/>
        </w:rPr>
        <w:t> </w:t>
      </w:r>
      <w:r>
        <w:rPr/>
        <w:t>modifying</w:t>
      </w:r>
      <w:r>
        <w:rPr>
          <w:spacing w:val="80"/>
        </w:rPr>
        <w:t> </w:t>
      </w:r>
      <w:r>
        <w:rPr/>
        <w:t>breast cancer</w:t>
      </w:r>
      <w:r>
        <w:rPr>
          <w:spacing w:val="80"/>
        </w:rPr>
        <w:t> </w:t>
      </w:r>
      <w:r>
        <w:rPr/>
        <w:t>screening</w:t>
      </w:r>
      <w:r>
        <w:rPr>
          <w:spacing w:val="80"/>
        </w:rPr>
        <w:t> </w:t>
      </w:r>
      <w:r>
        <w:rPr/>
        <w:t>behavior</w:t>
      </w:r>
      <w:r>
        <w:rPr>
          <w:spacing w:val="40"/>
        </w:rPr>
        <w:t> </w:t>
      </w:r>
      <w:r>
        <w:rPr/>
        <w:t>(Manglona</w:t>
      </w:r>
      <w:r>
        <w:rPr>
          <w:spacing w:val="80"/>
        </w:rPr>
        <w:t> </w:t>
      </w:r>
      <w:r>
        <w:rPr/>
        <w:t>et</w:t>
      </w:r>
      <w:r>
        <w:rPr>
          <w:spacing w:val="80"/>
        </w:rPr>
        <w:t> </w:t>
      </w:r>
      <w:r>
        <w:rPr/>
        <w:t>al., 2010). Further, Gotay et al. (2000) found that a culturally tailored cancer education intervention increased</w:t>
      </w:r>
      <w:r>
        <w:rPr>
          <w:spacing w:val="40"/>
        </w:rPr>
        <w:t> </w:t>
      </w:r>
      <w:r>
        <w:rPr/>
        <w:t>breast</w:t>
      </w:r>
      <w:r>
        <w:rPr>
          <w:spacing w:val="40"/>
        </w:rPr>
        <w:t> </w:t>
      </w:r>
      <w:r>
        <w:rPr/>
        <w:t>and</w:t>
      </w:r>
      <w:r>
        <w:rPr>
          <w:spacing w:val="40"/>
        </w:rPr>
        <w:t> </w:t>
      </w:r>
      <w:r>
        <w:rPr/>
        <w:t>cervical</w:t>
      </w:r>
      <w:r>
        <w:rPr>
          <w:spacing w:val="40"/>
        </w:rPr>
        <w:t> </w:t>
      </w:r>
      <w:r>
        <w:rPr/>
        <w:t>cancer</w:t>
      </w:r>
      <w:r>
        <w:rPr>
          <w:spacing w:val="40"/>
        </w:rPr>
        <w:t> </w:t>
      </w:r>
      <w:r>
        <w:rPr/>
        <w:t>screening </w:t>
      </w:r>
      <w:r>
        <w:rPr>
          <w:spacing w:val="-4"/>
        </w:rPr>
        <w:t>among</w:t>
      </w:r>
      <w:r>
        <w:rPr/>
        <w:tab/>
      </w:r>
      <w:r>
        <w:rPr>
          <w:spacing w:val="-2"/>
        </w:rPr>
        <w:t>Native</w:t>
      </w:r>
      <w:r>
        <w:rPr/>
        <w:tab/>
      </w:r>
      <w:r>
        <w:rPr>
          <w:spacing w:val="-2"/>
        </w:rPr>
        <w:t>Hawaiian</w:t>
      </w:r>
      <w:r>
        <w:rPr/>
        <w:tab/>
        <w:tab/>
        <w:tab/>
      </w:r>
      <w:r>
        <w:rPr>
          <w:spacing w:val="-2"/>
        </w:rPr>
        <w:t>women.</w:t>
      </w:r>
      <w:r>
        <w:rPr/>
        <w:tab/>
        <w:tab/>
      </w:r>
      <w:r>
        <w:rPr>
          <w:spacing w:val="-2"/>
        </w:rPr>
        <w:t>Cultural </w:t>
      </w:r>
      <w:r>
        <w:rPr/>
        <w:t>tailoring facilitates the overcoming of language and culture barriers, as well as addresses social norms</w:t>
      </w:r>
      <w:r>
        <w:rPr>
          <w:spacing w:val="26"/>
        </w:rPr>
        <w:t> </w:t>
      </w:r>
      <w:r>
        <w:rPr/>
        <w:t>regarding</w:t>
      </w:r>
      <w:r>
        <w:rPr>
          <w:spacing w:val="25"/>
        </w:rPr>
        <w:t> </w:t>
      </w:r>
      <w:r>
        <w:rPr/>
        <w:t>the</w:t>
      </w:r>
      <w:r>
        <w:rPr>
          <w:spacing w:val="25"/>
        </w:rPr>
        <w:t> </w:t>
      </w:r>
      <w:r>
        <w:rPr/>
        <w:t>discussion</w:t>
      </w:r>
      <w:r>
        <w:rPr>
          <w:spacing w:val="25"/>
        </w:rPr>
        <w:t> </w:t>
      </w:r>
      <w:r>
        <w:rPr/>
        <w:t>of</w:t>
      </w:r>
      <w:r>
        <w:rPr>
          <w:spacing w:val="25"/>
        </w:rPr>
        <w:t> </w:t>
      </w:r>
      <w:r>
        <w:rPr/>
        <w:t>certain</w:t>
      </w:r>
      <w:r>
        <w:rPr>
          <w:spacing w:val="25"/>
        </w:rPr>
        <w:t> </w:t>
      </w:r>
      <w:r>
        <w:rPr/>
        <w:t>body parts</w:t>
      </w:r>
      <w:r>
        <w:rPr>
          <w:spacing w:val="40"/>
        </w:rPr>
        <w:t> </w:t>
      </w:r>
      <w:r>
        <w:rPr/>
        <w:t>and</w:t>
      </w:r>
      <w:r>
        <w:rPr>
          <w:spacing w:val="40"/>
        </w:rPr>
        <w:t> </w:t>
      </w:r>
      <w:r>
        <w:rPr/>
        <w:t>health.</w:t>
      </w:r>
      <w:r>
        <w:rPr>
          <w:spacing w:val="40"/>
        </w:rPr>
        <w:t> </w:t>
      </w:r>
      <w:r>
        <w:rPr/>
        <w:t>A</w:t>
      </w:r>
      <w:r>
        <w:rPr>
          <w:spacing w:val="40"/>
        </w:rPr>
        <w:t> </w:t>
      </w:r>
      <w:r>
        <w:rPr/>
        <w:t>culturally</w:t>
      </w:r>
      <w:r>
        <w:rPr>
          <w:spacing w:val="40"/>
        </w:rPr>
        <w:t> </w:t>
      </w:r>
      <w:r>
        <w:rPr/>
        <w:t>tailored</w:t>
      </w:r>
      <w:r>
        <w:rPr>
          <w:spacing w:val="40"/>
        </w:rPr>
        <w:t> </w:t>
      </w:r>
      <w:r>
        <w:rPr/>
        <w:t>CRC</w:t>
      </w:r>
      <w:r>
        <w:rPr>
          <w:spacing w:val="80"/>
        </w:rPr>
        <w:t> </w:t>
      </w:r>
      <w:r>
        <w:rPr/>
        <w:t>educational</w:t>
      </w:r>
      <w:r>
        <w:rPr>
          <w:spacing w:val="30"/>
        </w:rPr>
        <w:t> </w:t>
      </w:r>
      <w:r>
        <w:rPr/>
        <w:t>intervention</w:t>
      </w:r>
      <w:r>
        <w:rPr>
          <w:spacing w:val="29"/>
        </w:rPr>
        <w:t> </w:t>
      </w:r>
      <w:r>
        <w:rPr/>
        <w:t>would</w:t>
      </w:r>
      <w:r>
        <w:rPr>
          <w:spacing w:val="30"/>
        </w:rPr>
        <w:t> </w:t>
      </w:r>
      <w:r>
        <w:rPr/>
        <w:t>aim</w:t>
      </w:r>
      <w:r>
        <w:rPr>
          <w:spacing w:val="28"/>
        </w:rPr>
        <w:t> </w:t>
      </w:r>
      <w:r>
        <w:rPr/>
        <w:t>to</w:t>
      </w:r>
      <w:r>
        <w:rPr>
          <w:spacing w:val="30"/>
        </w:rPr>
        <w:t> </w:t>
      </w:r>
      <w:r>
        <w:rPr/>
        <w:t>improve screening</w:t>
      </w:r>
      <w:r>
        <w:rPr>
          <w:spacing w:val="40"/>
        </w:rPr>
        <w:t> </w:t>
      </w:r>
      <w:r>
        <w:rPr/>
        <w:t>behaviors</w:t>
      </w:r>
      <w:r>
        <w:rPr>
          <w:spacing w:val="40"/>
        </w:rPr>
        <w:t> </w:t>
      </w:r>
      <w:r>
        <w:rPr/>
        <w:t>by</w:t>
      </w:r>
      <w:r>
        <w:rPr>
          <w:spacing w:val="40"/>
        </w:rPr>
        <w:t> </w:t>
      </w:r>
      <w:r>
        <w:rPr/>
        <w:t>increasing</w:t>
      </w:r>
      <w:r>
        <w:rPr>
          <w:spacing w:val="40"/>
        </w:rPr>
        <w:t> </w:t>
      </w:r>
      <w:r>
        <w:rPr/>
        <w:t>knowledge and</w:t>
      </w:r>
      <w:r>
        <w:rPr>
          <w:spacing w:val="40"/>
        </w:rPr>
        <w:t> </w:t>
      </w:r>
      <w:r>
        <w:rPr/>
        <w:t>positive</w:t>
      </w:r>
      <w:r>
        <w:rPr>
          <w:spacing w:val="40"/>
        </w:rPr>
        <w:t> </w:t>
      </w:r>
      <w:r>
        <w:rPr/>
        <w:t>beliefs</w:t>
      </w:r>
      <w:r>
        <w:rPr>
          <w:spacing w:val="40"/>
        </w:rPr>
        <w:t> </w:t>
      </w:r>
      <w:r>
        <w:rPr/>
        <w:t>of</w:t>
      </w:r>
      <w:r>
        <w:rPr>
          <w:spacing w:val="80"/>
        </w:rPr>
        <w:t> </w:t>
      </w:r>
      <w:r>
        <w:rPr/>
        <w:t>CRC</w:t>
      </w:r>
      <w:r>
        <w:rPr>
          <w:spacing w:val="40"/>
        </w:rPr>
        <w:t> </w:t>
      </w:r>
      <w:r>
        <w:rPr/>
        <w:t>and</w:t>
      </w:r>
      <w:r>
        <w:rPr>
          <w:spacing w:val="40"/>
        </w:rPr>
        <w:t> </w:t>
      </w:r>
      <w:r>
        <w:rPr/>
        <w:t>screening.</w:t>
      </w:r>
      <w:r>
        <w:rPr>
          <w:spacing w:val="80"/>
        </w:rPr>
        <w:t> </w:t>
      </w:r>
      <w:r>
        <w:rPr/>
        <w:t>Therefore, the purpose of this paper is to assess the impacts of the culturally tailored educational intervention</w:t>
      </w:r>
      <w:r>
        <w:rPr>
          <w:spacing w:val="80"/>
        </w:rPr>
        <w:t> </w:t>
      </w:r>
      <w:r>
        <w:rPr/>
        <w:t>on</w:t>
      </w:r>
      <w:r>
        <w:rPr>
          <w:spacing w:val="80"/>
        </w:rPr>
        <w:t> </w:t>
      </w:r>
      <w:r>
        <w:rPr/>
        <w:t>changes</w:t>
      </w:r>
      <w:r>
        <w:rPr>
          <w:spacing w:val="80"/>
        </w:rPr>
        <w:t> </w:t>
      </w:r>
      <w:r>
        <w:rPr/>
        <w:t>in</w:t>
      </w:r>
      <w:r>
        <w:rPr>
          <w:spacing w:val="80"/>
        </w:rPr>
        <w:t> </w:t>
      </w:r>
      <w:r>
        <w:rPr/>
        <w:t>knowledge</w:t>
      </w:r>
      <w:r>
        <w:rPr>
          <w:spacing w:val="80"/>
        </w:rPr>
        <w:t> </w:t>
      </w:r>
      <w:r>
        <w:rPr/>
        <w:t>and beliefs</w:t>
      </w:r>
      <w:r>
        <w:rPr>
          <w:spacing w:val="40"/>
        </w:rPr>
        <w:t> </w:t>
      </w:r>
      <w:r>
        <w:rPr/>
        <w:t>regarding</w:t>
      </w:r>
      <w:r>
        <w:rPr>
          <w:spacing w:val="40"/>
        </w:rPr>
        <w:t> </w:t>
      </w:r>
      <w:r>
        <w:rPr/>
        <w:t>CRC</w:t>
      </w:r>
      <w:r>
        <w:rPr>
          <w:spacing w:val="40"/>
        </w:rPr>
        <w:t> </w:t>
      </w:r>
      <w:r>
        <w:rPr/>
        <w:t>and</w:t>
      </w:r>
      <w:r>
        <w:rPr>
          <w:spacing w:val="40"/>
        </w:rPr>
        <w:t> </w:t>
      </w:r>
      <w:r>
        <w:rPr/>
        <w:t>screening</w:t>
      </w:r>
      <w:r>
        <w:rPr>
          <w:spacing w:val="40"/>
        </w:rPr>
        <w:t> </w:t>
      </w:r>
      <w:r>
        <w:rPr/>
        <w:t>among </w:t>
      </w:r>
      <w:r>
        <w:rPr>
          <w:spacing w:val="-2"/>
        </w:rPr>
        <w:t>Chamorros</w:t>
      </w:r>
      <w:r>
        <w:rPr/>
        <w:tab/>
      </w:r>
      <w:r>
        <w:rPr>
          <w:spacing w:val="-4"/>
        </w:rPr>
        <w:t>and</w:t>
      </w:r>
      <w:r>
        <w:rPr/>
        <w:tab/>
        <w:tab/>
      </w:r>
      <w:r>
        <w:rPr>
          <w:spacing w:val="-2"/>
        </w:rPr>
        <w:t>other</w:t>
      </w:r>
      <w:r>
        <w:rPr/>
        <w:tab/>
        <w:tab/>
      </w:r>
      <w:r>
        <w:rPr>
          <w:spacing w:val="-2"/>
        </w:rPr>
        <w:t>Pacific</w:t>
      </w:r>
      <w:r>
        <w:rPr/>
        <w:tab/>
        <w:tab/>
      </w:r>
      <w:r>
        <w:rPr>
          <w:spacing w:val="-2"/>
        </w:rPr>
        <w:t>Islanders. </w:t>
      </w:r>
      <w:r>
        <w:rPr/>
        <w:t>Furthermore, we sought to determine if changes in</w:t>
      </w:r>
      <w:r>
        <w:rPr>
          <w:spacing w:val="40"/>
        </w:rPr>
        <w:t> </w:t>
      </w:r>
      <w:r>
        <w:rPr/>
        <w:t>knowledge</w:t>
      </w:r>
      <w:r>
        <w:rPr>
          <w:spacing w:val="40"/>
        </w:rPr>
        <w:t> </w:t>
      </w:r>
      <w:r>
        <w:rPr/>
        <w:t>and</w:t>
      </w:r>
      <w:r>
        <w:rPr>
          <w:spacing w:val="40"/>
        </w:rPr>
        <w:t> </w:t>
      </w:r>
      <w:r>
        <w:rPr/>
        <w:t>beliefs</w:t>
      </w:r>
      <w:r>
        <w:rPr>
          <w:spacing w:val="40"/>
        </w:rPr>
        <w:t> </w:t>
      </w:r>
      <w:r>
        <w:rPr/>
        <w:t>are</w:t>
      </w:r>
      <w:r>
        <w:rPr>
          <w:spacing w:val="40"/>
        </w:rPr>
        <w:t> </w:t>
      </w:r>
      <w:r>
        <w:rPr/>
        <w:t>associated</w:t>
      </w:r>
      <w:r>
        <w:rPr>
          <w:spacing w:val="40"/>
        </w:rPr>
        <w:t> </w:t>
      </w:r>
      <w:r>
        <w:rPr/>
        <w:t>with positive</w:t>
      </w:r>
      <w:r>
        <w:rPr>
          <w:spacing w:val="40"/>
        </w:rPr>
        <w:t> </w:t>
      </w:r>
      <w:r>
        <w:rPr/>
        <w:t>intentions</w:t>
      </w:r>
      <w:r>
        <w:rPr>
          <w:spacing w:val="40"/>
        </w:rPr>
        <w:t> </w:t>
      </w:r>
      <w:r>
        <w:rPr/>
        <w:t>to</w:t>
      </w:r>
      <w:r>
        <w:rPr>
          <w:spacing w:val="40"/>
        </w:rPr>
        <w:t> </w:t>
      </w:r>
      <w:r>
        <w:rPr/>
        <w:t>talk</w:t>
      </w:r>
      <w:r>
        <w:rPr>
          <w:spacing w:val="40"/>
        </w:rPr>
        <w:t> </w:t>
      </w:r>
      <w:r>
        <w:rPr/>
        <w:t>with</w:t>
      </w:r>
      <w:r>
        <w:rPr>
          <w:spacing w:val="40"/>
        </w:rPr>
        <w:t> </w:t>
      </w:r>
      <w:r>
        <w:rPr/>
        <w:t>a</w:t>
      </w:r>
      <w:r>
        <w:rPr>
          <w:spacing w:val="40"/>
        </w:rPr>
        <w:t> </w:t>
      </w:r>
      <w:r>
        <w:rPr/>
        <w:t>doctor</w:t>
      </w:r>
      <w:r>
        <w:rPr>
          <w:spacing w:val="40"/>
        </w:rPr>
        <w:t> </w:t>
      </w:r>
      <w:r>
        <w:rPr/>
        <w:t>about CRC</w:t>
      </w:r>
      <w:r>
        <w:rPr>
          <w:spacing w:val="80"/>
        </w:rPr>
        <w:t> </w:t>
      </w:r>
      <w:r>
        <w:rPr/>
        <w:t>screening</w:t>
      </w:r>
      <w:r>
        <w:rPr>
          <w:spacing w:val="80"/>
        </w:rPr>
        <w:t> </w:t>
      </w:r>
      <w:r>
        <w:rPr/>
        <w:t>and</w:t>
      </w:r>
      <w:r>
        <w:rPr>
          <w:spacing w:val="80"/>
        </w:rPr>
        <w:t> </w:t>
      </w:r>
      <w:r>
        <w:rPr/>
        <w:t>positive</w:t>
      </w:r>
      <w:r>
        <w:rPr>
          <w:spacing w:val="80"/>
        </w:rPr>
        <w:t> </w:t>
      </w:r>
      <w:r>
        <w:rPr/>
        <w:t>intentions</w:t>
      </w:r>
      <w:r>
        <w:rPr>
          <w:spacing w:val="80"/>
        </w:rPr>
        <w:t> </w:t>
      </w:r>
      <w:r>
        <w:rPr/>
        <w:t>to</w:t>
      </w:r>
      <w:r>
        <w:rPr>
          <w:spacing w:val="80"/>
          <w:w w:val="150"/>
        </w:rPr>
        <w:t> </w:t>
      </w:r>
      <w:r>
        <w:rPr/>
        <w:t>participate</w:t>
      </w:r>
      <w:r>
        <w:rPr>
          <w:spacing w:val="34"/>
        </w:rPr>
        <w:t> </w:t>
      </w:r>
      <w:r>
        <w:rPr/>
        <w:t>in</w:t>
      </w:r>
      <w:r>
        <w:rPr>
          <w:spacing w:val="34"/>
        </w:rPr>
        <w:t> </w:t>
      </w:r>
      <w:r>
        <w:rPr/>
        <w:t>screening</w:t>
      </w:r>
      <w:r>
        <w:rPr>
          <w:spacing w:val="34"/>
        </w:rPr>
        <w:t> </w:t>
      </w:r>
      <w:r>
        <w:rPr/>
        <w:t>among</w:t>
      </w:r>
      <w:r>
        <w:rPr>
          <w:spacing w:val="34"/>
        </w:rPr>
        <w:t> </w:t>
      </w:r>
      <w:r>
        <w:rPr/>
        <w:t>Chamorros</w:t>
      </w:r>
      <w:r>
        <w:rPr>
          <w:spacing w:val="34"/>
        </w:rPr>
        <w:t> </w:t>
      </w:r>
      <w:r>
        <w:rPr/>
        <w:t>and other</w:t>
      </w:r>
      <w:r>
        <w:rPr>
          <w:spacing w:val="27"/>
        </w:rPr>
        <w:t> </w:t>
      </w:r>
      <w:r>
        <w:rPr/>
        <w:t>Pacific</w:t>
      </w:r>
      <w:r>
        <w:rPr>
          <w:spacing w:val="27"/>
        </w:rPr>
        <w:t> </w:t>
      </w:r>
      <w:r>
        <w:rPr/>
        <w:t>Islanders</w:t>
      </w:r>
      <w:r>
        <w:rPr>
          <w:spacing w:val="27"/>
        </w:rPr>
        <w:t> </w:t>
      </w:r>
      <w:r>
        <w:rPr/>
        <w:t>50</w:t>
      </w:r>
      <w:r>
        <w:rPr>
          <w:spacing w:val="27"/>
        </w:rPr>
        <w:t> </w:t>
      </w:r>
      <w:r>
        <w:rPr/>
        <w:t>years</w:t>
      </w:r>
      <w:r>
        <w:rPr>
          <w:spacing w:val="27"/>
        </w:rPr>
        <w:t> </w:t>
      </w:r>
      <w:r>
        <w:rPr/>
        <w:t>and</w:t>
      </w:r>
      <w:r>
        <w:rPr>
          <w:spacing w:val="27"/>
        </w:rPr>
        <w:t> </w:t>
      </w:r>
      <w:r>
        <w:rPr/>
        <w:t>older.</w:t>
      </w:r>
      <w:r>
        <w:rPr>
          <w:spacing w:val="27"/>
        </w:rPr>
        <w:t> </w:t>
      </w:r>
      <w:r>
        <w:rPr/>
        <w:t>The Guam</w:t>
      </w:r>
      <w:r>
        <w:rPr>
          <w:spacing w:val="40"/>
        </w:rPr>
        <w:t> </w:t>
      </w:r>
      <w:r>
        <w:rPr/>
        <w:t>Communications</w:t>
      </w:r>
      <w:r>
        <w:rPr>
          <w:spacing w:val="40"/>
        </w:rPr>
        <w:t> </w:t>
      </w:r>
      <w:r>
        <w:rPr/>
        <w:t>Network</w:t>
      </w:r>
      <w:r>
        <w:rPr>
          <w:spacing w:val="40"/>
        </w:rPr>
        <w:t> </w:t>
      </w:r>
      <w:r>
        <w:rPr/>
        <w:t>(GCN)</w:t>
      </w:r>
      <w:r>
        <w:rPr>
          <w:spacing w:val="40"/>
        </w:rPr>
        <w:t> </w:t>
      </w:r>
      <w:r>
        <w:rPr/>
        <w:t>and Pacific</w:t>
      </w:r>
      <w:r>
        <w:rPr>
          <w:spacing w:val="80"/>
        </w:rPr>
        <w:t> </w:t>
      </w:r>
      <w:r>
        <w:rPr/>
        <w:t>Islander</w:t>
      </w:r>
      <w:r>
        <w:rPr>
          <w:spacing w:val="80"/>
        </w:rPr>
        <w:t> </w:t>
      </w:r>
      <w:r>
        <w:rPr/>
        <w:t>Health</w:t>
      </w:r>
      <w:r>
        <w:rPr>
          <w:spacing w:val="80"/>
        </w:rPr>
        <w:t> </w:t>
      </w:r>
      <w:r>
        <w:rPr/>
        <w:t>Partnership</w:t>
      </w:r>
      <w:r>
        <w:rPr>
          <w:spacing w:val="80"/>
        </w:rPr>
        <w:t> </w:t>
      </w:r>
      <w:r>
        <w:rPr/>
        <w:t>(PIHP)</w:t>
      </w:r>
      <w:r>
        <w:rPr>
          <w:spacing w:val="40"/>
        </w:rPr>
        <w:t> </w:t>
      </w:r>
      <w:r>
        <w:rPr/>
        <w:t>organizations along with St. Joseph Hospital of </w:t>
      </w:r>
      <w:r>
        <w:rPr>
          <w:spacing w:val="-2"/>
        </w:rPr>
        <w:t>Orange</w:t>
      </w:r>
      <w:r>
        <w:rPr/>
        <w:tab/>
        <w:tab/>
      </w:r>
      <w:r>
        <w:rPr>
          <w:spacing w:val="-2"/>
        </w:rPr>
        <w:t>conducted</w:t>
      </w:r>
      <w:r>
        <w:rPr/>
        <w:tab/>
        <w:tab/>
      </w:r>
      <w:r>
        <w:rPr>
          <w:spacing w:val="-4"/>
        </w:rPr>
        <w:t>this</w:t>
      </w:r>
      <w:r>
        <w:rPr/>
        <w:tab/>
      </w:r>
      <w:r>
        <w:rPr>
          <w:spacing w:val="-2"/>
        </w:rPr>
        <w:t>study,</w:t>
      </w:r>
      <w:r>
        <w:rPr/>
        <w:tab/>
      </w:r>
      <w:r>
        <w:rPr>
          <w:spacing w:val="-2"/>
        </w:rPr>
        <w:t>however,</w:t>
      </w:r>
      <w:r>
        <w:rPr/>
        <w:tab/>
      </w:r>
      <w:r>
        <w:rPr>
          <w:spacing w:val="-10"/>
        </w:rPr>
        <w:t>a </w:t>
      </w:r>
      <w:r>
        <w:rPr/>
        <w:t>majority of participants were educated by GCN.</w:t>
      </w:r>
    </w:p>
    <w:p>
      <w:pPr>
        <w:pStyle w:val="BodyText"/>
        <w:spacing w:before="1"/>
      </w:pPr>
    </w:p>
    <w:p>
      <w:pPr>
        <w:pStyle w:val="Heading2"/>
        <w:spacing w:line="240" w:lineRule="auto"/>
        <w:ind w:left="0" w:right="218"/>
        <w:jc w:val="center"/>
      </w:pPr>
      <w:r>
        <w:rPr>
          <w:spacing w:val="-2"/>
        </w:rPr>
        <w:t>Methods</w:t>
      </w:r>
    </w:p>
    <w:p>
      <w:pPr>
        <w:spacing w:line="252" w:lineRule="exact" w:before="252"/>
        <w:ind w:left="240" w:right="0" w:firstLine="0"/>
        <w:jc w:val="left"/>
        <w:rPr>
          <w:b/>
          <w:sz w:val="22"/>
        </w:rPr>
      </w:pPr>
      <w:r>
        <w:rPr>
          <w:b/>
          <w:sz w:val="22"/>
        </w:rPr>
        <w:t>Study</w:t>
      </w:r>
      <w:r>
        <w:rPr>
          <w:b/>
          <w:spacing w:val="-6"/>
          <w:sz w:val="22"/>
        </w:rPr>
        <w:t> </w:t>
      </w:r>
      <w:r>
        <w:rPr>
          <w:b/>
          <w:spacing w:val="-2"/>
          <w:sz w:val="22"/>
        </w:rPr>
        <w:t>Design</w:t>
      </w:r>
    </w:p>
    <w:p>
      <w:pPr>
        <w:pStyle w:val="BodyText"/>
        <w:ind w:left="240" w:right="454"/>
      </w:pPr>
      <w:r>
        <w:rPr/>
        <w:t>This is a one-group, pre-test/post-test evaluation of</w:t>
      </w:r>
      <w:r>
        <w:rPr>
          <w:spacing w:val="8"/>
        </w:rPr>
        <w:t> </w:t>
      </w:r>
      <w:r>
        <w:rPr/>
        <w:t>CRC</w:t>
      </w:r>
      <w:r>
        <w:rPr>
          <w:spacing w:val="9"/>
        </w:rPr>
        <w:t> </w:t>
      </w:r>
      <w:r>
        <w:rPr/>
        <w:t>education</w:t>
      </w:r>
      <w:r>
        <w:rPr>
          <w:spacing w:val="9"/>
        </w:rPr>
        <w:t> </w:t>
      </w:r>
      <w:r>
        <w:rPr/>
        <w:t>workshops</w:t>
      </w:r>
      <w:r>
        <w:rPr>
          <w:spacing w:val="8"/>
        </w:rPr>
        <w:t> </w:t>
      </w:r>
      <w:r>
        <w:rPr/>
        <w:t>for</w:t>
      </w:r>
      <w:r>
        <w:rPr>
          <w:spacing w:val="9"/>
        </w:rPr>
        <w:t> </w:t>
      </w:r>
      <w:r>
        <w:rPr/>
        <w:t>Chamorro</w:t>
      </w:r>
      <w:r>
        <w:rPr>
          <w:spacing w:val="9"/>
        </w:rPr>
        <w:t> </w:t>
      </w:r>
      <w:r>
        <w:rPr>
          <w:spacing w:val="-5"/>
        </w:rPr>
        <w:t>and</w:t>
      </w:r>
    </w:p>
    <w:p>
      <w:pPr>
        <w:spacing w:after="0"/>
        <w:sectPr>
          <w:pgSz w:w="12240" w:h="15840"/>
          <w:pgMar w:header="723" w:footer="1065" w:top="1340" w:bottom="1260" w:left="1200" w:right="980"/>
          <w:cols w:num="2" w:equalWidth="0">
            <w:col w:w="4602" w:space="438"/>
            <w:col w:w="5020"/>
          </w:cols>
        </w:sectPr>
      </w:pPr>
    </w:p>
    <w:p>
      <w:pPr>
        <w:pStyle w:val="BodyText"/>
        <w:spacing w:before="81"/>
        <w:ind w:left="240" w:right="38"/>
        <w:jc w:val="both"/>
      </w:pPr>
      <w:r>
        <w:rPr/>
        <w:t>other Pacific Islander adults in Orange County. Educational workshops were conducted over a one and a half year period by Pacific Islander community health educators (CHEs). The </w:t>
      </w:r>
      <w:r>
        <w:rPr/>
        <w:t>pre- and post-tests were collected from participants during the education session. The purpose of the educational intervention was to increase knowledge and beliefs regarding CRC and to promote screening among Chamorros and other Pacific Islanders. The objective was to facilitate positive intentions to get screened, and the goal was to increase screening behavior. By</w:t>
      </w:r>
      <w:r>
        <w:rPr>
          <w:spacing w:val="40"/>
        </w:rPr>
        <w:t> </w:t>
      </w:r>
      <w:r>
        <w:rPr/>
        <w:t>analyzing pre- and post-test surveys we assessed the impact of the educational workshop on increasing knowledge and beliefs, and explored the relationship between changes in knowledge and beliefs with intentions to get screened. Therefore, the main variables of interest were changes in knowledge and beliefs of CRC and screening, and intentions to talk to a doctor</w:t>
      </w:r>
      <w:r>
        <w:rPr>
          <w:spacing w:val="40"/>
        </w:rPr>
        <w:t> </w:t>
      </w:r>
      <w:r>
        <w:rPr/>
        <w:t>about screening and to participate in screening.</w:t>
      </w:r>
      <w:r>
        <w:rPr>
          <w:spacing w:val="40"/>
        </w:rPr>
        <w:t> </w:t>
      </w:r>
      <w:r>
        <w:rPr/>
        <w:t>It should be noted that attitudes regarding CRC were not measured and therefore not part of the analyses. This study was made possible by a community collaborative called WINCART (Weaving and Islander Network for Cancer Awareness, Research and Training). Through WINCART, GCN and PIHP partnered with St. Joseph Hospital of Orange to provide CRC education and services to the Pacific Islander communities of Orange County.</w:t>
      </w:r>
    </w:p>
    <w:p>
      <w:pPr>
        <w:pStyle w:val="BodyText"/>
        <w:spacing w:before="1"/>
      </w:pPr>
    </w:p>
    <w:p>
      <w:pPr>
        <w:pStyle w:val="Heading2"/>
      </w:pPr>
      <w:r>
        <w:rPr>
          <w:spacing w:val="-2"/>
        </w:rPr>
        <w:t>Participants</w:t>
      </w:r>
    </w:p>
    <w:p>
      <w:pPr>
        <w:pStyle w:val="BodyText"/>
        <w:ind w:left="240" w:right="38"/>
        <w:jc w:val="both"/>
      </w:pPr>
      <w:r>
        <w:rPr/>
        <w:t>The CRC educational workshop targeted Chamorro, Samoan, Marshallese, Native Hawaiian, and Tongan men and women ages 18 to 70 years and older who reside in Orange County. While the intent was to recruit from all Native Hawaiian and other Pacific Islander populations, the sample is predominantly Chamorro females. In total there were 239 participants educated; however, 196 were included in the analyses because the target age group for CRC screening was 50 years and</w:t>
      </w:r>
      <w:r>
        <w:rPr>
          <w:spacing w:val="40"/>
        </w:rPr>
        <w:t> </w:t>
      </w:r>
      <w:r>
        <w:rPr/>
        <w:t>older. Participants were recruited from community-based organizations, churches, and other health workshops (i.e., diabetes, heart 101, breast</w:t>
      </w:r>
      <w:r>
        <w:rPr>
          <w:spacing w:val="-6"/>
        </w:rPr>
        <w:t> </w:t>
      </w:r>
      <w:r>
        <w:rPr/>
        <w:t>cancer).</w:t>
      </w:r>
      <w:r>
        <w:rPr>
          <w:spacing w:val="-6"/>
        </w:rPr>
        <w:t> </w:t>
      </w:r>
      <w:r>
        <w:rPr/>
        <w:t>Educational</w:t>
      </w:r>
      <w:r>
        <w:rPr>
          <w:spacing w:val="-6"/>
        </w:rPr>
        <w:t> </w:t>
      </w:r>
      <w:r>
        <w:rPr/>
        <w:t>workshops</w:t>
      </w:r>
      <w:r>
        <w:rPr>
          <w:spacing w:val="-7"/>
        </w:rPr>
        <w:t> </w:t>
      </w:r>
      <w:r>
        <w:rPr/>
        <w:t>were</w:t>
      </w:r>
      <w:r>
        <w:rPr>
          <w:spacing w:val="-6"/>
        </w:rPr>
        <w:t> </w:t>
      </w:r>
      <w:r>
        <w:rPr/>
        <w:t>held at churches, community centers, one-on-one meetings, community clinics, </w:t>
      </w:r>
      <w:r>
        <w:rPr/>
        <w:t>community-based organizations,</w:t>
      </w:r>
      <w:r>
        <w:rPr>
          <w:spacing w:val="26"/>
        </w:rPr>
        <w:t>  </w:t>
      </w:r>
      <w:r>
        <w:rPr/>
        <w:t>and</w:t>
      </w:r>
      <w:r>
        <w:rPr>
          <w:spacing w:val="27"/>
        </w:rPr>
        <w:t>  </w:t>
      </w:r>
      <w:r>
        <w:rPr/>
        <w:t>participant’s</w:t>
      </w:r>
      <w:r>
        <w:rPr>
          <w:spacing w:val="27"/>
        </w:rPr>
        <w:t>  </w:t>
      </w:r>
      <w:r>
        <w:rPr/>
        <w:t>homes.</w:t>
      </w:r>
      <w:r>
        <w:rPr>
          <w:spacing w:val="27"/>
        </w:rPr>
        <w:t>  </w:t>
      </w:r>
      <w:r>
        <w:rPr>
          <w:spacing w:val="-5"/>
        </w:rPr>
        <w:t>The</w:t>
      </w:r>
    </w:p>
    <w:p>
      <w:pPr>
        <w:pStyle w:val="BodyText"/>
        <w:spacing w:before="81"/>
        <w:ind w:left="240" w:right="457"/>
        <w:jc w:val="both"/>
      </w:pPr>
      <w:r>
        <w:rPr/>
        <w:br w:type="column"/>
      </w:r>
      <w:r>
        <w:rPr/>
        <w:t>workshops that took place through one-on-one meetings and at participant’s homes were due </w:t>
      </w:r>
      <w:r>
        <w:rPr/>
        <w:t>to travel challenges.</w:t>
      </w:r>
    </w:p>
    <w:p>
      <w:pPr>
        <w:pStyle w:val="BodyText"/>
      </w:pPr>
    </w:p>
    <w:p>
      <w:pPr>
        <w:pStyle w:val="BodyText"/>
        <w:tabs>
          <w:tab w:pos="789" w:val="left" w:leader="none"/>
          <w:tab w:pos="874" w:val="left" w:leader="none"/>
          <w:tab w:pos="1047" w:val="left" w:leader="none"/>
          <w:tab w:pos="1244" w:val="left" w:leader="none"/>
          <w:tab w:pos="1284" w:val="left" w:leader="none"/>
          <w:tab w:pos="1419" w:val="left" w:leader="none"/>
          <w:tab w:pos="1604" w:val="left" w:leader="none"/>
          <w:tab w:pos="1869" w:val="left" w:leader="none"/>
          <w:tab w:pos="1943" w:val="left" w:leader="none"/>
          <w:tab w:pos="2134" w:val="left" w:leader="none"/>
          <w:tab w:pos="2223" w:val="left" w:leader="none"/>
          <w:tab w:pos="2268" w:val="left" w:leader="none"/>
          <w:tab w:pos="2333" w:val="left" w:leader="none"/>
          <w:tab w:pos="2391" w:val="left" w:leader="none"/>
          <w:tab w:pos="2471" w:val="left" w:leader="none"/>
          <w:tab w:pos="2647" w:val="left" w:leader="none"/>
          <w:tab w:pos="3152" w:val="left" w:leader="none"/>
          <w:tab w:pos="3269" w:val="left" w:leader="none"/>
          <w:tab w:pos="3318" w:val="left" w:leader="none"/>
          <w:tab w:pos="3425" w:val="left" w:leader="none"/>
          <w:tab w:pos="3582" w:val="left" w:leader="none"/>
          <w:tab w:pos="3777" w:val="left" w:leader="none"/>
          <w:tab w:pos="3985" w:val="left" w:leader="none"/>
          <w:tab w:pos="4242" w:val="left" w:leader="none"/>
          <w:tab w:pos="4303" w:val="left" w:leader="none"/>
        </w:tabs>
        <w:ind w:left="240" w:right="454"/>
      </w:pPr>
      <w:r>
        <w:rPr>
          <w:b/>
        </w:rPr>
        <w:t>Culturally Tailored Education Materials </w:t>
      </w:r>
      <w:r>
        <w:rPr/>
        <w:t>Kreuter’s</w:t>
      </w:r>
      <w:r>
        <w:rPr>
          <w:spacing w:val="80"/>
        </w:rPr>
        <w:t> </w:t>
      </w:r>
      <w:r>
        <w:rPr/>
        <w:t>framework</w:t>
      </w:r>
      <w:r>
        <w:rPr>
          <w:spacing w:val="80"/>
        </w:rPr>
        <w:t> </w:t>
      </w:r>
      <w:r>
        <w:rPr/>
        <w:t>for</w:t>
      </w:r>
      <w:r>
        <w:rPr>
          <w:spacing w:val="80"/>
        </w:rPr>
        <w:t> </w:t>
      </w:r>
      <w:r>
        <w:rPr/>
        <w:t>achieving</w:t>
      </w:r>
      <w:r>
        <w:rPr>
          <w:spacing w:val="80"/>
        </w:rPr>
        <w:t> </w:t>
      </w:r>
      <w:r>
        <w:rPr/>
        <w:t>cultural appropriateness</w:t>
      </w:r>
      <w:r>
        <w:rPr>
          <w:spacing w:val="40"/>
        </w:rPr>
        <w:t> </w:t>
      </w:r>
      <w:r>
        <w:rPr/>
        <w:t>was</w:t>
      </w:r>
      <w:r>
        <w:rPr>
          <w:spacing w:val="40"/>
        </w:rPr>
        <w:t> </w:t>
      </w:r>
      <w:r>
        <w:rPr/>
        <w:t>utilized</w:t>
      </w:r>
      <w:r>
        <w:rPr>
          <w:spacing w:val="40"/>
        </w:rPr>
        <w:t> </w:t>
      </w:r>
      <w:r>
        <w:rPr/>
        <w:t>in</w:t>
      </w:r>
      <w:r>
        <w:rPr>
          <w:spacing w:val="40"/>
        </w:rPr>
        <w:t> </w:t>
      </w:r>
      <w:r>
        <w:rPr/>
        <w:t>developing</w:t>
      </w:r>
      <w:r>
        <w:rPr>
          <w:spacing w:val="40"/>
        </w:rPr>
        <w:t> </w:t>
      </w:r>
      <w:r>
        <w:rPr/>
        <w:t>the </w:t>
      </w:r>
      <w:r>
        <w:rPr>
          <w:spacing w:val="-2"/>
        </w:rPr>
        <w:t>flipchart,</w:t>
      </w:r>
      <w:r>
        <w:rPr/>
        <w:tab/>
        <w:tab/>
        <w:tab/>
      </w:r>
      <w:r>
        <w:rPr>
          <w:spacing w:val="-2"/>
        </w:rPr>
        <w:t>bookmark,</w:t>
      </w:r>
      <w:r>
        <w:rPr/>
        <w:tab/>
        <w:tab/>
        <w:tab/>
        <w:tab/>
        <w:tab/>
      </w:r>
      <w:r>
        <w:rPr>
          <w:spacing w:val="-55"/>
        </w:rPr>
        <w:t> </w:t>
      </w:r>
      <w:r>
        <w:rPr>
          <w:spacing w:val="-2"/>
        </w:rPr>
        <w:t>handout</w:t>
      </w:r>
      <w:r>
        <w:rPr/>
        <w:tab/>
        <w:tab/>
        <w:tab/>
      </w:r>
      <w:r>
        <w:rPr>
          <w:spacing w:val="-4"/>
        </w:rPr>
        <w:t>and</w:t>
      </w:r>
      <w:r>
        <w:rPr/>
        <w:tab/>
        <w:tab/>
      </w:r>
      <w:r>
        <w:rPr>
          <w:spacing w:val="-2"/>
        </w:rPr>
        <w:t>videos </w:t>
      </w:r>
      <w:r>
        <w:rPr/>
        <w:t>(Kreuter,</w:t>
      </w:r>
      <w:r>
        <w:rPr>
          <w:spacing w:val="-2"/>
        </w:rPr>
        <w:t> </w:t>
      </w:r>
      <w:r>
        <w:rPr/>
        <w:t>Lukwago,</w:t>
      </w:r>
      <w:r>
        <w:rPr>
          <w:spacing w:val="-2"/>
        </w:rPr>
        <w:t> </w:t>
      </w:r>
      <w:r>
        <w:rPr/>
        <w:t>Bucholtz,</w:t>
      </w:r>
      <w:r>
        <w:rPr>
          <w:spacing w:val="-3"/>
        </w:rPr>
        <w:t> </w:t>
      </w:r>
      <w:r>
        <w:rPr/>
        <w:t>Clark,</w:t>
      </w:r>
      <w:r>
        <w:rPr>
          <w:spacing w:val="-2"/>
        </w:rPr>
        <w:t> </w:t>
      </w:r>
      <w:r>
        <w:rPr/>
        <w:t>&amp;</w:t>
      </w:r>
      <w:r>
        <w:rPr>
          <w:spacing w:val="-2"/>
        </w:rPr>
        <w:t> </w:t>
      </w:r>
      <w:r>
        <w:rPr/>
        <w:t>Sanders- Thompson,</w:t>
      </w:r>
      <w:r>
        <w:rPr>
          <w:spacing w:val="-5"/>
        </w:rPr>
        <w:t> </w:t>
      </w:r>
      <w:r>
        <w:rPr/>
        <w:t>2003).</w:t>
      </w:r>
      <w:r>
        <w:rPr>
          <w:spacing w:val="-5"/>
        </w:rPr>
        <w:t> </w:t>
      </w:r>
      <w:r>
        <w:rPr/>
        <w:t>This</w:t>
      </w:r>
      <w:r>
        <w:rPr>
          <w:spacing w:val="-5"/>
        </w:rPr>
        <w:t> </w:t>
      </w:r>
      <w:r>
        <w:rPr/>
        <w:t>involved</w:t>
      </w:r>
      <w:r>
        <w:rPr>
          <w:spacing w:val="-5"/>
        </w:rPr>
        <w:t> </w:t>
      </w:r>
      <w:r>
        <w:rPr/>
        <w:t>the</w:t>
      </w:r>
      <w:r>
        <w:rPr>
          <w:spacing w:val="-5"/>
        </w:rPr>
        <w:t> </w:t>
      </w:r>
      <w:r>
        <w:rPr/>
        <w:t>inclusion</w:t>
      </w:r>
      <w:r>
        <w:rPr>
          <w:spacing w:val="-5"/>
        </w:rPr>
        <w:t> </w:t>
      </w:r>
      <w:r>
        <w:rPr/>
        <w:t>of Pacific</w:t>
      </w:r>
      <w:r>
        <w:rPr>
          <w:spacing w:val="40"/>
        </w:rPr>
        <w:t> </w:t>
      </w:r>
      <w:r>
        <w:rPr/>
        <w:t>Islander</w:t>
      </w:r>
      <w:r>
        <w:rPr>
          <w:spacing w:val="40"/>
        </w:rPr>
        <w:t> </w:t>
      </w:r>
      <w:r>
        <w:rPr/>
        <w:t>images</w:t>
      </w:r>
      <w:r>
        <w:rPr>
          <w:spacing w:val="40"/>
        </w:rPr>
        <w:t> </w:t>
      </w:r>
      <w:r>
        <w:rPr/>
        <w:t>of</w:t>
      </w:r>
      <w:r>
        <w:rPr>
          <w:spacing w:val="40"/>
        </w:rPr>
        <w:t> </w:t>
      </w:r>
      <w:r>
        <w:rPr/>
        <w:t>cultural</w:t>
      </w:r>
      <w:r>
        <w:rPr>
          <w:spacing w:val="40"/>
        </w:rPr>
        <w:t> </w:t>
      </w:r>
      <w:r>
        <w:rPr/>
        <w:t>items</w:t>
      </w:r>
      <w:r>
        <w:rPr>
          <w:spacing w:val="40"/>
        </w:rPr>
        <w:t> </w:t>
      </w:r>
      <w:r>
        <w:rPr/>
        <w:t>(i.e., tapa</w:t>
      </w:r>
      <w:r>
        <w:rPr>
          <w:spacing w:val="40"/>
        </w:rPr>
        <w:t> </w:t>
      </w:r>
      <w:r>
        <w:rPr/>
        <w:t>cloths,</w:t>
      </w:r>
      <w:r>
        <w:rPr>
          <w:spacing w:val="40"/>
        </w:rPr>
        <w:t> </w:t>
      </w:r>
      <w:r>
        <w:rPr/>
        <w:t>palm</w:t>
      </w:r>
      <w:r>
        <w:rPr>
          <w:spacing w:val="40"/>
        </w:rPr>
        <w:t> </w:t>
      </w:r>
      <w:r>
        <w:rPr/>
        <w:t>trees</w:t>
      </w:r>
      <w:r>
        <w:rPr>
          <w:spacing w:val="40"/>
        </w:rPr>
        <w:t> </w:t>
      </w:r>
      <w:r>
        <w:rPr/>
        <w:t>and</w:t>
      </w:r>
      <w:r>
        <w:rPr>
          <w:spacing w:val="40"/>
        </w:rPr>
        <w:t> </w:t>
      </w:r>
      <w:r>
        <w:rPr/>
        <w:t>pandanus</w:t>
      </w:r>
      <w:r>
        <w:rPr>
          <w:spacing w:val="40"/>
        </w:rPr>
        <w:t> </w:t>
      </w:r>
      <w:r>
        <w:rPr/>
        <w:t>weaved mats),</w:t>
      </w:r>
      <w:r>
        <w:rPr>
          <w:spacing w:val="80"/>
        </w:rPr>
        <w:t> </w:t>
      </w:r>
      <w:r>
        <w:rPr/>
        <w:t>sociocultural</w:t>
      </w:r>
      <w:r>
        <w:rPr>
          <w:spacing w:val="80"/>
        </w:rPr>
        <w:t> </w:t>
      </w:r>
      <w:r>
        <w:rPr/>
        <w:t>cues</w:t>
      </w:r>
      <w:r>
        <w:rPr>
          <w:spacing w:val="80"/>
        </w:rPr>
        <w:t> </w:t>
      </w:r>
      <w:r>
        <w:rPr/>
        <w:t>(i.e.,</w:t>
      </w:r>
      <w:r>
        <w:rPr>
          <w:spacing w:val="80"/>
        </w:rPr>
        <w:t> </w:t>
      </w:r>
      <w:r>
        <w:rPr/>
        <w:t>reference</w:t>
      </w:r>
      <w:r>
        <w:rPr>
          <w:spacing w:val="80"/>
        </w:rPr>
        <w:t> </w:t>
      </w:r>
      <w:r>
        <w:rPr/>
        <w:t>to religion,</w:t>
      </w:r>
      <w:r>
        <w:rPr>
          <w:spacing w:val="80"/>
        </w:rPr>
        <w:t> </w:t>
      </w:r>
      <w:r>
        <w:rPr/>
        <w:t>faith,</w:t>
      </w:r>
      <w:r>
        <w:rPr>
          <w:spacing w:val="80"/>
        </w:rPr>
        <w:t> </w:t>
      </w:r>
      <w:r>
        <w:rPr/>
        <w:t>and</w:t>
      </w:r>
      <w:r>
        <w:rPr>
          <w:spacing w:val="80"/>
        </w:rPr>
        <w:t> </w:t>
      </w:r>
      <w:r>
        <w:rPr/>
        <w:t>ethnic</w:t>
      </w:r>
      <w:r>
        <w:rPr>
          <w:spacing w:val="80"/>
        </w:rPr>
        <w:t> </w:t>
      </w:r>
      <w:r>
        <w:rPr/>
        <w:t>pride),</w:t>
      </w:r>
      <w:r>
        <w:rPr>
          <w:spacing w:val="80"/>
        </w:rPr>
        <w:t> </w:t>
      </w:r>
      <w:r>
        <w:rPr/>
        <w:t>relevant</w:t>
      </w:r>
      <w:r>
        <w:rPr>
          <w:spacing w:val="80"/>
        </w:rPr>
        <w:t> </w:t>
      </w:r>
      <w:r>
        <w:rPr>
          <w:spacing w:val="-2"/>
        </w:rPr>
        <w:t>statistics</w:t>
      </w:r>
      <w:r>
        <w:rPr/>
        <w:tab/>
        <w:tab/>
      </w:r>
      <w:r>
        <w:rPr>
          <w:spacing w:val="-2"/>
        </w:rPr>
        <w:t>regarding</w:t>
      </w:r>
      <w:r>
        <w:rPr/>
        <w:tab/>
        <w:tab/>
        <w:tab/>
        <w:tab/>
      </w:r>
      <w:r>
        <w:rPr>
          <w:spacing w:val="-2"/>
        </w:rPr>
        <w:t>cancer</w:t>
      </w:r>
      <w:r>
        <w:rPr/>
        <w:tab/>
      </w:r>
      <w:r>
        <w:rPr>
          <w:spacing w:val="-2"/>
        </w:rPr>
        <w:t>incidence</w:t>
      </w:r>
      <w:r>
        <w:rPr/>
        <w:tab/>
        <w:tab/>
      </w:r>
      <w:r>
        <w:rPr>
          <w:spacing w:val="-4"/>
        </w:rPr>
        <w:t>and </w:t>
      </w:r>
      <w:r>
        <w:rPr/>
        <w:t>mortality rates,</w:t>
      </w:r>
      <w:r>
        <w:rPr>
          <w:spacing w:val="-1"/>
        </w:rPr>
        <w:t> </w:t>
      </w:r>
      <w:r>
        <w:rPr/>
        <w:t>and</w:t>
      </w:r>
      <w:r>
        <w:rPr>
          <w:spacing w:val="-1"/>
        </w:rPr>
        <w:t> </w:t>
      </w:r>
      <w:r>
        <w:rPr/>
        <w:t>appropriate</w:t>
      </w:r>
      <w:r>
        <w:rPr>
          <w:spacing w:val="-1"/>
        </w:rPr>
        <w:t> </w:t>
      </w:r>
      <w:r>
        <w:rPr/>
        <w:t>written</w:t>
      </w:r>
      <w:r>
        <w:rPr>
          <w:spacing w:val="-1"/>
        </w:rPr>
        <w:t> </w:t>
      </w:r>
      <w:r>
        <w:rPr/>
        <w:t>language translation</w:t>
      </w:r>
      <w:r>
        <w:rPr>
          <w:spacing w:val="36"/>
        </w:rPr>
        <w:t> </w:t>
      </w:r>
      <w:r>
        <w:rPr/>
        <w:t>of</w:t>
      </w:r>
      <w:r>
        <w:rPr>
          <w:spacing w:val="35"/>
        </w:rPr>
        <w:t> </w:t>
      </w:r>
      <w:r>
        <w:rPr/>
        <w:t>bookmark,</w:t>
      </w:r>
      <w:r>
        <w:rPr>
          <w:spacing w:val="36"/>
        </w:rPr>
        <w:t> </w:t>
      </w:r>
      <w:r>
        <w:rPr/>
        <w:t>handout</w:t>
      </w:r>
      <w:r>
        <w:rPr>
          <w:spacing w:val="35"/>
        </w:rPr>
        <w:t> </w:t>
      </w:r>
      <w:r>
        <w:rPr/>
        <w:t>and</w:t>
      </w:r>
      <w:r>
        <w:rPr>
          <w:spacing w:val="34"/>
        </w:rPr>
        <w:t> </w:t>
      </w:r>
      <w:r>
        <w:rPr/>
        <w:t>flipchart </w:t>
      </w:r>
      <w:r>
        <w:rPr>
          <w:spacing w:val="-4"/>
        </w:rPr>
        <w:t>into</w:t>
      </w:r>
      <w:r>
        <w:rPr/>
        <w:tab/>
      </w:r>
      <w:r>
        <w:rPr>
          <w:spacing w:val="-2"/>
        </w:rPr>
        <w:t>Chamorro,</w:t>
      </w:r>
      <w:r>
        <w:rPr/>
        <w:tab/>
        <w:tab/>
      </w:r>
      <w:r>
        <w:rPr>
          <w:spacing w:val="-2"/>
        </w:rPr>
        <w:t>Marshallese,</w:t>
      </w:r>
      <w:r>
        <w:rPr/>
        <w:tab/>
        <w:tab/>
      </w:r>
      <w:r>
        <w:rPr>
          <w:spacing w:val="-2"/>
        </w:rPr>
        <w:t>Samoan,</w:t>
      </w:r>
      <w:r>
        <w:rPr/>
        <w:tab/>
      </w:r>
      <w:r>
        <w:rPr>
          <w:spacing w:val="-4"/>
        </w:rPr>
        <w:t>and </w:t>
      </w:r>
      <w:r>
        <w:rPr/>
        <w:t>Tongan</w:t>
      </w:r>
      <w:r>
        <w:rPr>
          <w:spacing w:val="21"/>
        </w:rPr>
        <w:t> </w:t>
      </w:r>
      <w:r>
        <w:rPr/>
        <w:t>languages.</w:t>
      </w:r>
      <w:r>
        <w:rPr>
          <w:spacing w:val="22"/>
        </w:rPr>
        <w:t> </w:t>
      </w:r>
      <w:r>
        <w:rPr/>
        <w:t>These</w:t>
      </w:r>
      <w:r>
        <w:rPr>
          <w:spacing w:val="22"/>
        </w:rPr>
        <w:t> </w:t>
      </w:r>
      <w:r>
        <w:rPr/>
        <w:t>in-language</w:t>
      </w:r>
      <w:r>
        <w:rPr>
          <w:spacing w:val="21"/>
        </w:rPr>
        <w:t> </w:t>
      </w:r>
      <w:r>
        <w:rPr/>
        <w:t>materials </w:t>
      </w:r>
      <w:r>
        <w:rPr>
          <w:spacing w:val="-4"/>
        </w:rPr>
        <w:t>were</w:t>
      </w:r>
      <w:r>
        <w:rPr/>
        <w:tab/>
        <w:tab/>
      </w:r>
      <w:r>
        <w:rPr>
          <w:spacing w:val="-2"/>
        </w:rPr>
        <w:t>first</w:t>
      </w:r>
      <w:r>
        <w:rPr/>
        <w:tab/>
        <w:tab/>
        <w:tab/>
      </w:r>
      <w:r>
        <w:rPr>
          <w:spacing w:val="-37"/>
        </w:rPr>
        <w:t> </w:t>
      </w:r>
      <w:r>
        <w:rPr/>
        <w:t>drafted</w:t>
        <w:tab/>
        <w:tab/>
        <w:tab/>
      </w:r>
      <w:r>
        <w:rPr>
          <w:spacing w:val="-6"/>
        </w:rPr>
        <w:t>in</w:t>
      </w:r>
      <w:r>
        <w:rPr/>
        <w:tab/>
        <w:tab/>
      </w:r>
      <w:r>
        <w:rPr>
          <w:spacing w:val="-2"/>
        </w:rPr>
        <w:t>English,</w:t>
      </w:r>
      <w:r>
        <w:rPr/>
        <w:tab/>
        <w:tab/>
      </w:r>
      <w:r>
        <w:rPr>
          <w:spacing w:val="-2"/>
        </w:rPr>
        <w:t>tested</w:t>
      </w:r>
      <w:r>
        <w:rPr/>
        <w:tab/>
        <w:tab/>
      </w:r>
      <w:r>
        <w:rPr>
          <w:spacing w:val="-4"/>
        </w:rPr>
        <w:t>for </w:t>
      </w:r>
      <w:r>
        <w:rPr>
          <w:spacing w:val="-2"/>
        </w:rPr>
        <w:t>readability</w:t>
      </w:r>
      <w:r>
        <w:rPr/>
        <w:tab/>
        <w:tab/>
        <w:tab/>
      </w:r>
      <w:r>
        <w:rPr>
          <w:spacing w:val="-2"/>
        </w:rPr>
        <w:t>using</w:t>
      </w:r>
      <w:r>
        <w:rPr/>
        <w:tab/>
        <w:tab/>
      </w:r>
      <w:r>
        <w:rPr>
          <w:spacing w:val="-10"/>
        </w:rPr>
        <w:t>a</w:t>
      </w:r>
      <w:r>
        <w:rPr/>
        <w:tab/>
        <w:tab/>
        <w:tab/>
        <w:tab/>
        <w:tab/>
      </w:r>
      <w:r>
        <w:rPr>
          <w:spacing w:val="-2"/>
        </w:rPr>
        <w:t>Simple</w:t>
      </w:r>
      <w:r>
        <w:rPr/>
        <w:tab/>
        <w:tab/>
        <w:tab/>
      </w:r>
      <w:r>
        <w:rPr>
          <w:spacing w:val="-42"/>
        </w:rPr>
        <w:t> </w:t>
      </w:r>
      <w:r>
        <w:rPr/>
        <w:t>Measure</w:t>
        <w:tab/>
        <w:tab/>
      </w:r>
      <w:r>
        <w:rPr>
          <w:spacing w:val="-32"/>
        </w:rPr>
        <w:t> </w:t>
      </w:r>
      <w:r>
        <w:rPr>
          <w:spacing w:val="-2"/>
        </w:rPr>
        <w:t>Of </w:t>
      </w:r>
      <w:r>
        <w:rPr/>
        <w:t>Gobbledygook</w:t>
      </w:r>
      <w:r>
        <w:rPr>
          <w:spacing w:val="40"/>
        </w:rPr>
        <w:t> </w:t>
      </w:r>
      <w:r>
        <w:rPr/>
        <w:t>(SMOG)</w:t>
      </w:r>
      <w:r>
        <w:rPr>
          <w:spacing w:val="40"/>
        </w:rPr>
        <w:t> </w:t>
      </w:r>
      <w:r>
        <w:rPr/>
        <w:t>grading</w:t>
      </w:r>
      <w:r>
        <w:rPr>
          <w:spacing w:val="40"/>
        </w:rPr>
        <w:t> </w:t>
      </w:r>
      <w:r>
        <w:rPr/>
        <w:t>(McLaughlin, </w:t>
      </w:r>
      <w:r>
        <w:rPr>
          <w:spacing w:val="-2"/>
        </w:rPr>
        <w:t>1969),</w:t>
      </w:r>
      <w:r>
        <w:rPr/>
        <w:tab/>
        <w:tab/>
      </w:r>
      <w:r>
        <w:rPr>
          <w:spacing w:val="-4"/>
        </w:rPr>
        <w:t>and</w:t>
      </w:r>
      <w:r>
        <w:rPr/>
        <w:tab/>
        <w:tab/>
      </w:r>
      <w:r>
        <w:rPr>
          <w:spacing w:val="-4"/>
        </w:rPr>
        <w:t>then</w:t>
      </w:r>
      <w:r>
        <w:rPr/>
        <w:tab/>
        <w:tab/>
      </w:r>
      <w:r>
        <w:rPr>
          <w:spacing w:val="-2"/>
        </w:rPr>
        <w:t>translated</w:t>
      </w:r>
      <w:r>
        <w:rPr/>
        <w:tab/>
        <w:tab/>
        <w:tab/>
      </w:r>
      <w:r>
        <w:rPr>
          <w:spacing w:val="-6"/>
        </w:rPr>
        <w:t>by</w:t>
      </w:r>
      <w:r>
        <w:rPr/>
        <w:tab/>
        <w:tab/>
      </w:r>
      <w:r>
        <w:rPr>
          <w:spacing w:val="-2"/>
        </w:rPr>
        <w:t>bilingual </w:t>
      </w:r>
      <w:r>
        <w:rPr/>
        <w:t>community partners. The SMOG grade formula was</w:t>
      </w:r>
      <w:r>
        <w:rPr>
          <w:spacing w:val="-6"/>
        </w:rPr>
        <w:t> </w:t>
      </w:r>
      <w:r>
        <w:rPr/>
        <w:t>developed</w:t>
      </w:r>
      <w:r>
        <w:rPr>
          <w:spacing w:val="-6"/>
        </w:rPr>
        <w:t> </w:t>
      </w:r>
      <w:r>
        <w:rPr/>
        <w:t>by</w:t>
      </w:r>
      <w:r>
        <w:rPr>
          <w:spacing w:val="-4"/>
        </w:rPr>
        <w:t> </w:t>
      </w:r>
      <w:r>
        <w:rPr/>
        <w:t>Harry</w:t>
      </w:r>
      <w:r>
        <w:rPr>
          <w:spacing w:val="-4"/>
        </w:rPr>
        <w:t> </w:t>
      </w:r>
      <w:r>
        <w:rPr/>
        <w:t>McLaughlin</w:t>
      </w:r>
      <w:r>
        <w:rPr>
          <w:spacing w:val="-6"/>
        </w:rPr>
        <w:t> </w:t>
      </w:r>
      <w:r>
        <w:rPr/>
        <w:t>and</w:t>
      </w:r>
      <w:r>
        <w:rPr>
          <w:spacing w:val="-6"/>
        </w:rPr>
        <w:t> </w:t>
      </w:r>
      <w:r>
        <w:rPr/>
        <w:t>is</w:t>
      </w:r>
      <w:r>
        <w:rPr>
          <w:spacing w:val="-6"/>
        </w:rPr>
        <w:t> </w:t>
      </w:r>
      <w:r>
        <w:rPr/>
        <w:t>used to</w:t>
      </w:r>
      <w:r>
        <w:rPr>
          <w:spacing w:val="40"/>
        </w:rPr>
        <w:t> </w:t>
      </w:r>
      <w:r>
        <w:rPr/>
        <w:t>assess</w:t>
      </w:r>
      <w:r>
        <w:rPr>
          <w:spacing w:val="40"/>
        </w:rPr>
        <w:t> </w:t>
      </w:r>
      <w:r>
        <w:rPr/>
        <w:t>the</w:t>
      </w:r>
      <w:r>
        <w:rPr>
          <w:spacing w:val="40"/>
        </w:rPr>
        <w:t> </w:t>
      </w:r>
      <w:r>
        <w:rPr/>
        <w:t>readability</w:t>
      </w:r>
      <w:r>
        <w:rPr>
          <w:spacing w:val="40"/>
        </w:rPr>
        <w:t> </w:t>
      </w:r>
      <w:r>
        <w:rPr/>
        <w:t>of</w:t>
      </w:r>
      <w:r>
        <w:rPr>
          <w:spacing w:val="40"/>
        </w:rPr>
        <w:t> </w:t>
      </w:r>
      <w:r>
        <w:rPr/>
        <w:t>health</w:t>
      </w:r>
      <w:r>
        <w:rPr>
          <w:spacing w:val="40"/>
        </w:rPr>
        <w:t> </w:t>
      </w:r>
      <w:r>
        <w:rPr/>
        <w:t>messages.</w:t>
      </w:r>
      <w:r>
        <w:rPr>
          <w:spacing w:val="40"/>
        </w:rPr>
        <w:t> </w:t>
      </w:r>
      <w:r>
        <w:rPr/>
        <w:t>Both the CHE and the education materials (flip chart,</w:t>
      </w:r>
      <w:r>
        <w:rPr>
          <w:spacing w:val="80"/>
        </w:rPr>
        <w:t> </w:t>
      </w:r>
      <w:r>
        <w:rPr/>
        <w:t>handout</w:t>
      </w:r>
      <w:r>
        <w:rPr>
          <w:spacing w:val="80"/>
        </w:rPr>
        <w:t> </w:t>
      </w:r>
      <w:r>
        <w:rPr/>
        <w:t>and</w:t>
      </w:r>
      <w:r>
        <w:rPr>
          <w:spacing w:val="80"/>
        </w:rPr>
        <w:t> </w:t>
      </w:r>
      <w:r>
        <w:rPr/>
        <w:t>bookmark)</w:t>
      </w:r>
      <w:r>
        <w:rPr>
          <w:spacing w:val="80"/>
        </w:rPr>
        <w:t> </w:t>
      </w:r>
      <w:r>
        <w:rPr/>
        <w:t>reflected</w:t>
      </w:r>
      <w:r>
        <w:rPr>
          <w:spacing w:val="80"/>
        </w:rPr>
        <w:t> </w:t>
      </w:r>
      <w:r>
        <w:rPr/>
        <w:t>the </w:t>
      </w:r>
      <w:r>
        <w:rPr>
          <w:spacing w:val="-2"/>
        </w:rPr>
        <w:t>language</w:t>
      </w:r>
      <w:r>
        <w:rPr/>
        <w:tab/>
        <w:tab/>
        <w:tab/>
      </w:r>
      <w:r>
        <w:rPr>
          <w:spacing w:val="-53"/>
        </w:rPr>
        <w:t> </w:t>
      </w:r>
      <w:r>
        <w:rPr>
          <w:spacing w:val="-2"/>
        </w:rPr>
        <w:t>that</w:t>
      </w:r>
      <w:r>
        <w:rPr/>
        <w:tab/>
      </w:r>
      <w:r>
        <w:rPr>
          <w:spacing w:val="-4"/>
        </w:rPr>
        <w:t>the</w:t>
      </w:r>
      <w:r>
        <w:rPr/>
        <w:tab/>
        <w:tab/>
        <w:tab/>
        <w:tab/>
        <w:tab/>
      </w:r>
      <w:r>
        <w:rPr>
          <w:spacing w:val="-2"/>
        </w:rPr>
        <w:t>participant</w:t>
      </w:r>
      <w:r>
        <w:rPr/>
        <w:tab/>
        <w:tab/>
        <w:tab/>
      </w:r>
      <w:r>
        <w:rPr>
          <w:spacing w:val="-53"/>
        </w:rPr>
        <w:t> </w:t>
      </w:r>
      <w:r>
        <w:rPr/>
        <w:t>felt</w:t>
      </w:r>
      <w:r>
        <w:rPr>
          <w:spacing w:val="40"/>
        </w:rPr>
        <w:t>  </w:t>
      </w:r>
      <w:r>
        <w:rPr/>
        <w:t>most comfortable using.</w:t>
      </w:r>
    </w:p>
    <w:p>
      <w:pPr>
        <w:pStyle w:val="BodyText"/>
      </w:pPr>
    </w:p>
    <w:p>
      <w:pPr>
        <w:pStyle w:val="BodyText"/>
        <w:tabs>
          <w:tab w:pos="937" w:val="left" w:leader="none"/>
          <w:tab w:pos="1053" w:val="left" w:leader="none"/>
          <w:tab w:pos="1102" w:val="left" w:leader="none"/>
          <w:tab w:pos="1500" w:val="left" w:leader="none"/>
          <w:tab w:pos="1569" w:val="left" w:leader="none"/>
          <w:tab w:pos="1928" w:val="left" w:leader="none"/>
          <w:tab w:pos="2055" w:val="left" w:leader="none"/>
          <w:tab w:pos="2381" w:val="left" w:leader="none"/>
          <w:tab w:pos="2431" w:val="left" w:leader="none"/>
          <w:tab w:pos="2601" w:val="left" w:leader="none"/>
          <w:tab w:pos="2901" w:val="left" w:leader="none"/>
          <w:tab w:pos="3035" w:val="left" w:leader="none"/>
          <w:tab w:pos="3215" w:val="left" w:leader="none"/>
          <w:tab w:pos="3261" w:val="left" w:leader="none"/>
          <w:tab w:pos="3508" w:val="left" w:leader="none"/>
          <w:tab w:pos="3662" w:val="left" w:leader="none"/>
          <w:tab w:pos="3739" w:val="left" w:leader="none"/>
          <w:tab w:pos="4167" w:val="left" w:leader="none"/>
          <w:tab w:pos="4231" w:val="left" w:leader="none"/>
        </w:tabs>
        <w:ind w:left="240" w:right="456"/>
      </w:pPr>
      <w:r>
        <w:rPr>
          <w:b/>
        </w:rPr>
        <w:t>Educational Workshop and Data Collection </w:t>
      </w:r>
      <w:r>
        <w:rPr>
          <w:spacing w:val="-4"/>
        </w:rPr>
        <w:t>CHEs</w:t>
      </w:r>
      <w:r>
        <w:rPr/>
        <w:tab/>
        <w:tab/>
        <w:tab/>
      </w:r>
      <w:r>
        <w:rPr>
          <w:spacing w:val="-2"/>
        </w:rPr>
        <w:t>distributed</w:t>
      </w:r>
      <w:r>
        <w:rPr/>
        <w:tab/>
        <w:tab/>
      </w:r>
      <w:r>
        <w:rPr>
          <w:spacing w:val="-4"/>
        </w:rPr>
        <w:t>and</w:t>
      </w:r>
      <w:r>
        <w:rPr/>
        <w:tab/>
        <w:tab/>
      </w:r>
      <w:r>
        <w:rPr>
          <w:spacing w:val="-2"/>
        </w:rPr>
        <w:t>collected</w:t>
      </w:r>
      <w:r>
        <w:rPr/>
        <w:tab/>
      </w:r>
      <w:r>
        <w:rPr>
          <w:spacing w:val="-2"/>
        </w:rPr>
        <w:t>self- </w:t>
      </w:r>
      <w:r>
        <w:rPr/>
        <w:t>administered</w:t>
      </w:r>
      <w:r>
        <w:rPr>
          <w:spacing w:val="80"/>
        </w:rPr>
        <w:t> </w:t>
      </w:r>
      <w:r>
        <w:rPr/>
        <w:t>surveys</w:t>
      </w:r>
      <w:r>
        <w:rPr>
          <w:spacing w:val="80"/>
        </w:rPr>
        <w:t> </w:t>
      </w:r>
      <w:r>
        <w:rPr/>
        <w:t>during</w:t>
      </w:r>
      <w:r>
        <w:rPr>
          <w:spacing w:val="80"/>
        </w:rPr>
        <w:t> </w:t>
      </w:r>
      <w:r>
        <w:rPr/>
        <w:t>the</w:t>
      </w:r>
      <w:r>
        <w:rPr>
          <w:spacing w:val="80"/>
        </w:rPr>
        <w:t> </w:t>
      </w:r>
      <w:r>
        <w:rPr/>
        <w:t>educational workshop. Participants signed-in as they entered the workshop. After signing in, the pre-test and post-test</w:t>
      </w:r>
      <w:r>
        <w:rPr>
          <w:spacing w:val="40"/>
        </w:rPr>
        <w:t> </w:t>
      </w:r>
      <w:r>
        <w:rPr/>
        <w:t>were</w:t>
      </w:r>
      <w:r>
        <w:rPr>
          <w:spacing w:val="40"/>
        </w:rPr>
        <w:t> </w:t>
      </w:r>
      <w:r>
        <w:rPr/>
        <w:t>distributed</w:t>
      </w:r>
      <w:r>
        <w:rPr>
          <w:spacing w:val="40"/>
        </w:rPr>
        <w:t> </w:t>
      </w:r>
      <w:r>
        <w:rPr/>
        <w:t>simultaneously;</w:t>
      </w:r>
      <w:r>
        <w:rPr>
          <w:spacing w:val="40"/>
        </w:rPr>
        <w:t> </w:t>
      </w:r>
      <w:r>
        <w:rPr/>
        <w:t>both tests</w:t>
      </w:r>
      <w:r>
        <w:rPr>
          <w:spacing w:val="40"/>
        </w:rPr>
        <w:t> </w:t>
      </w:r>
      <w:r>
        <w:rPr/>
        <w:t>were</w:t>
      </w:r>
      <w:r>
        <w:rPr>
          <w:spacing w:val="40"/>
        </w:rPr>
        <w:t> </w:t>
      </w:r>
      <w:r>
        <w:rPr/>
        <w:t>coded</w:t>
      </w:r>
      <w:r>
        <w:rPr>
          <w:spacing w:val="40"/>
        </w:rPr>
        <w:t> </w:t>
      </w:r>
      <w:r>
        <w:rPr/>
        <w:t>to</w:t>
      </w:r>
      <w:r>
        <w:rPr>
          <w:spacing w:val="40"/>
        </w:rPr>
        <w:t> </w:t>
      </w:r>
      <w:r>
        <w:rPr/>
        <w:t>ensure</w:t>
      </w:r>
      <w:r>
        <w:rPr>
          <w:spacing w:val="40"/>
        </w:rPr>
        <w:t> </w:t>
      </w:r>
      <w:r>
        <w:rPr/>
        <w:t>that</w:t>
      </w:r>
      <w:r>
        <w:rPr>
          <w:spacing w:val="40"/>
        </w:rPr>
        <w:t> </w:t>
      </w:r>
      <w:r>
        <w:rPr/>
        <w:t>the</w:t>
      </w:r>
      <w:r>
        <w:rPr>
          <w:spacing w:val="40"/>
        </w:rPr>
        <w:t> </w:t>
      </w:r>
      <w:r>
        <w:rPr/>
        <w:t>pre-test</w:t>
      </w:r>
      <w:r>
        <w:rPr>
          <w:spacing w:val="80"/>
          <w:w w:val="150"/>
        </w:rPr>
        <w:t> </w:t>
      </w:r>
      <w:r>
        <w:rPr/>
        <w:t>match with the post-test. Participants completed the</w:t>
      </w:r>
      <w:r>
        <w:rPr>
          <w:spacing w:val="-4"/>
        </w:rPr>
        <w:t> </w:t>
      </w:r>
      <w:r>
        <w:rPr/>
        <w:t>pre-test</w:t>
      </w:r>
      <w:r>
        <w:rPr>
          <w:spacing w:val="-4"/>
        </w:rPr>
        <w:t> </w:t>
      </w:r>
      <w:r>
        <w:rPr/>
        <w:t>then</w:t>
      </w:r>
      <w:r>
        <w:rPr>
          <w:spacing w:val="-4"/>
        </w:rPr>
        <w:t> </w:t>
      </w:r>
      <w:r>
        <w:rPr/>
        <w:t>were</w:t>
      </w:r>
      <w:r>
        <w:rPr>
          <w:spacing w:val="-4"/>
        </w:rPr>
        <w:t> </w:t>
      </w:r>
      <w:r>
        <w:rPr/>
        <w:t>shown</w:t>
      </w:r>
      <w:r>
        <w:rPr>
          <w:spacing w:val="-4"/>
        </w:rPr>
        <w:t> </w:t>
      </w:r>
      <w:r>
        <w:rPr/>
        <w:t>a</w:t>
      </w:r>
      <w:r>
        <w:rPr>
          <w:spacing w:val="-4"/>
        </w:rPr>
        <w:t> </w:t>
      </w:r>
      <w:r>
        <w:rPr/>
        <w:t>culturally</w:t>
      </w:r>
      <w:r>
        <w:rPr>
          <w:spacing w:val="-2"/>
        </w:rPr>
        <w:t> </w:t>
      </w:r>
      <w:r>
        <w:rPr/>
        <w:t>tailored 60-second</w:t>
      </w:r>
      <w:r>
        <w:rPr>
          <w:spacing w:val="-5"/>
        </w:rPr>
        <w:t> </w:t>
      </w:r>
      <w:r>
        <w:rPr/>
        <w:t>video</w:t>
      </w:r>
      <w:r>
        <w:rPr>
          <w:spacing w:val="-5"/>
        </w:rPr>
        <w:t> </w:t>
      </w:r>
      <w:r>
        <w:rPr/>
        <w:t>that</w:t>
      </w:r>
      <w:r>
        <w:rPr>
          <w:spacing w:val="-5"/>
        </w:rPr>
        <w:t> </w:t>
      </w:r>
      <w:r>
        <w:rPr/>
        <w:t>briefly</w:t>
      </w:r>
      <w:r>
        <w:rPr>
          <w:spacing w:val="-5"/>
        </w:rPr>
        <w:t> </w:t>
      </w:r>
      <w:r>
        <w:rPr/>
        <w:t>introduces</w:t>
      </w:r>
      <w:r>
        <w:rPr>
          <w:spacing w:val="-5"/>
        </w:rPr>
        <w:t> </w:t>
      </w:r>
      <w:r>
        <w:rPr/>
        <w:t>CRC</w:t>
      </w:r>
      <w:r>
        <w:rPr>
          <w:spacing w:val="-5"/>
        </w:rPr>
        <w:t> </w:t>
      </w:r>
      <w:r>
        <w:rPr/>
        <w:t>and </w:t>
      </w:r>
      <w:r>
        <w:rPr>
          <w:spacing w:val="-2"/>
        </w:rPr>
        <w:t>shows</w:t>
      </w:r>
      <w:r>
        <w:rPr/>
        <w:tab/>
        <w:tab/>
      </w:r>
      <w:r>
        <w:rPr>
          <w:spacing w:val="-2"/>
        </w:rPr>
        <w:t>Pacific</w:t>
      </w:r>
      <w:r>
        <w:rPr/>
        <w:tab/>
      </w:r>
      <w:r>
        <w:rPr>
          <w:spacing w:val="-2"/>
        </w:rPr>
        <w:t>Islander</w:t>
      </w:r>
      <w:r>
        <w:rPr/>
        <w:tab/>
      </w:r>
      <w:r>
        <w:rPr>
          <w:spacing w:val="-2"/>
        </w:rPr>
        <w:t>cancer</w:t>
      </w:r>
      <w:r>
        <w:rPr/>
        <w:tab/>
        <w:tab/>
        <w:tab/>
      </w:r>
      <w:r>
        <w:rPr>
          <w:spacing w:val="-2"/>
        </w:rPr>
        <w:t>survivors emphasizing</w:t>
      </w:r>
      <w:r>
        <w:rPr/>
        <w:tab/>
        <w:tab/>
      </w:r>
      <w:r>
        <w:rPr>
          <w:spacing w:val="-4"/>
        </w:rPr>
        <w:t>the</w:t>
      </w:r>
      <w:r>
        <w:rPr/>
        <w:tab/>
        <w:tab/>
      </w:r>
      <w:r>
        <w:rPr>
          <w:spacing w:val="-2"/>
        </w:rPr>
        <w:t>importance</w:t>
      </w:r>
      <w:r>
        <w:rPr/>
        <w:tab/>
        <w:tab/>
        <w:tab/>
      </w:r>
      <w:r>
        <w:rPr>
          <w:spacing w:val="-6"/>
        </w:rPr>
        <w:t>of</w:t>
      </w:r>
      <w:r>
        <w:rPr/>
        <w:tab/>
        <w:tab/>
      </w:r>
      <w:r>
        <w:rPr>
          <w:spacing w:val="-2"/>
        </w:rPr>
        <w:t>screening. </w:t>
      </w:r>
      <w:r>
        <w:rPr/>
        <w:t>Afterwards,</w:t>
      </w:r>
      <w:r>
        <w:rPr>
          <w:spacing w:val="26"/>
        </w:rPr>
        <w:t> </w:t>
      </w:r>
      <w:r>
        <w:rPr/>
        <w:t>a</w:t>
      </w:r>
      <w:r>
        <w:rPr>
          <w:spacing w:val="25"/>
        </w:rPr>
        <w:t> </w:t>
      </w:r>
      <w:r>
        <w:rPr/>
        <w:t>60-minute</w:t>
      </w:r>
      <w:r>
        <w:rPr>
          <w:spacing w:val="26"/>
        </w:rPr>
        <w:t> </w:t>
      </w:r>
      <w:r>
        <w:rPr/>
        <w:t>CRC</w:t>
      </w:r>
      <w:r>
        <w:rPr>
          <w:spacing w:val="26"/>
        </w:rPr>
        <w:t> </w:t>
      </w:r>
      <w:r>
        <w:rPr/>
        <w:t>educational</w:t>
      </w:r>
      <w:r>
        <w:rPr>
          <w:spacing w:val="25"/>
        </w:rPr>
        <w:t> </w:t>
      </w:r>
      <w:r>
        <w:rPr/>
        <w:t>flip- chart presentation was shown. At the conclusion of</w:t>
      </w:r>
      <w:r>
        <w:rPr>
          <w:spacing w:val="40"/>
        </w:rPr>
        <w:t> </w:t>
      </w:r>
      <w:r>
        <w:rPr/>
        <w:t>the</w:t>
      </w:r>
      <w:r>
        <w:rPr>
          <w:spacing w:val="40"/>
        </w:rPr>
        <w:t> </w:t>
      </w:r>
      <w:r>
        <w:rPr/>
        <w:t>presentation,</w:t>
      </w:r>
      <w:r>
        <w:rPr>
          <w:spacing w:val="40"/>
        </w:rPr>
        <w:t> </w:t>
      </w:r>
      <w:r>
        <w:rPr/>
        <w:t>participants</w:t>
      </w:r>
      <w:r>
        <w:rPr>
          <w:spacing w:val="40"/>
        </w:rPr>
        <w:t> </w:t>
      </w:r>
      <w:r>
        <w:rPr/>
        <w:t>were</w:t>
      </w:r>
      <w:r>
        <w:rPr>
          <w:spacing w:val="40"/>
        </w:rPr>
        <w:t> </w:t>
      </w:r>
      <w:r>
        <w:rPr/>
        <w:t>shown</w:t>
      </w:r>
      <w:r>
        <w:rPr>
          <w:spacing w:val="40"/>
        </w:rPr>
        <w:t> </w:t>
      </w:r>
      <w:r>
        <w:rPr/>
        <w:t>a </w:t>
      </w:r>
      <w:r>
        <w:rPr>
          <w:spacing w:val="-2"/>
        </w:rPr>
        <w:t>four-minute</w:t>
      </w:r>
      <w:r>
        <w:rPr/>
        <w:tab/>
      </w:r>
      <w:r>
        <w:rPr>
          <w:spacing w:val="-32"/>
        </w:rPr>
        <w:t> </w:t>
      </w:r>
      <w:r>
        <w:rPr/>
        <w:t>culturally</w:t>
        <w:tab/>
        <w:tab/>
        <w:tab/>
      </w:r>
      <w:r>
        <w:rPr>
          <w:spacing w:val="-2"/>
        </w:rPr>
        <w:t>tailored</w:t>
      </w:r>
      <w:r>
        <w:rPr/>
        <w:tab/>
        <w:tab/>
      </w:r>
      <w:r>
        <w:rPr>
          <w:spacing w:val="-2"/>
        </w:rPr>
        <w:t>video</w:t>
      </w:r>
      <w:r>
        <w:rPr/>
        <w:tab/>
        <w:tab/>
      </w:r>
      <w:r>
        <w:rPr>
          <w:spacing w:val="-4"/>
        </w:rPr>
        <w:t>that </w:t>
      </w:r>
      <w:r>
        <w:rPr/>
        <w:t>emphasizes</w:t>
      </w:r>
      <w:r>
        <w:rPr>
          <w:spacing w:val="40"/>
        </w:rPr>
        <w:t> </w:t>
      </w:r>
      <w:r>
        <w:rPr/>
        <w:t>the</w:t>
      </w:r>
      <w:r>
        <w:rPr>
          <w:spacing w:val="40"/>
        </w:rPr>
        <w:t> </w:t>
      </w:r>
      <w:r>
        <w:rPr/>
        <w:t>importance</w:t>
      </w:r>
      <w:r>
        <w:rPr>
          <w:spacing w:val="40"/>
        </w:rPr>
        <w:t> </w:t>
      </w:r>
      <w:r>
        <w:rPr/>
        <w:t>of</w:t>
      </w:r>
      <w:r>
        <w:rPr>
          <w:spacing w:val="40"/>
        </w:rPr>
        <w:t> </w:t>
      </w:r>
      <w:r>
        <w:rPr/>
        <w:t>an</w:t>
      </w:r>
      <w:r>
        <w:rPr>
          <w:spacing w:val="40"/>
        </w:rPr>
        <w:t> </w:t>
      </w:r>
      <w:r>
        <w:rPr/>
        <w:t>individual’s health</w:t>
      </w:r>
      <w:r>
        <w:rPr>
          <w:spacing w:val="40"/>
        </w:rPr>
        <w:t> </w:t>
      </w:r>
      <w:r>
        <w:rPr/>
        <w:t>to</w:t>
      </w:r>
      <w:r>
        <w:rPr>
          <w:spacing w:val="40"/>
        </w:rPr>
        <w:t> </w:t>
      </w:r>
      <w:r>
        <w:rPr/>
        <w:t>their</w:t>
      </w:r>
      <w:r>
        <w:rPr>
          <w:spacing w:val="40"/>
        </w:rPr>
        <w:t> </w:t>
      </w:r>
      <w:r>
        <w:rPr/>
        <w:t>family</w:t>
      </w:r>
      <w:r>
        <w:rPr>
          <w:spacing w:val="80"/>
        </w:rPr>
        <w:t> </w:t>
      </w:r>
      <w:r>
        <w:rPr/>
        <w:t>and</w:t>
      </w:r>
      <w:r>
        <w:rPr>
          <w:spacing w:val="40"/>
        </w:rPr>
        <w:t> </w:t>
      </w:r>
      <w:r>
        <w:rPr/>
        <w:t>community.</w:t>
      </w:r>
      <w:r>
        <w:rPr>
          <w:spacing w:val="40"/>
        </w:rPr>
        <w:t> </w:t>
      </w:r>
      <w:r>
        <w:rPr/>
        <w:t>This</w:t>
      </w:r>
      <w:r>
        <w:rPr>
          <w:spacing w:val="40"/>
        </w:rPr>
        <w:t> </w:t>
      </w:r>
      <w:r>
        <w:rPr>
          <w:spacing w:val="-2"/>
        </w:rPr>
        <w:t>video</w:t>
      </w:r>
      <w:r>
        <w:rPr/>
        <w:tab/>
      </w:r>
      <w:r>
        <w:rPr>
          <w:spacing w:val="-4"/>
        </w:rPr>
        <w:t>also</w:t>
      </w:r>
      <w:r>
        <w:rPr/>
        <w:tab/>
      </w:r>
      <w:r>
        <w:rPr>
          <w:spacing w:val="-2"/>
        </w:rPr>
        <w:t>featured</w:t>
      </w:r>
      <w:r>
        <w:rPr/>
        <w:tab/>
        <w:tab/>
      </w:r>
      <w:r>
        <w:rPr>
          <w:spacing w:val="-2"/>
        </w:rPr>
        <w:t>cancer</w:t>
      </w:r>
      <w:r>
        <w:rPr/>
        <w:tab/>
        <w:tab/>
      </w:r>
      <w:r>
        <w:rPr>
          <w:spacing w:val="-2"/>
        </w:rPr>
        <w:t>survivors</w:t>
      </w:r>
      <w:r>
        <w:rPr/>
        <w:tab/>
        <w:tab/>
      </w:r>
      <w:r>
        <w:rPr>
          <w:spacing w:val="-44"/>
        </w:rPr>
        <w:t> </w:t>
      </w:r>
      <w:r>
        <w:rPr>
          <w:spacing w:val="-4"/>
        </w:rPr>
        <w:t>and </w:t>
      </w:r>
      <w:r>
        <w:rPr/>
        <w:t>community</w:t>
      </w:r>
      <w:r>
        <w:rPr>
          <w:spacing w:val="30"/>
        </w:rPr>
        <w:t>  </w:t>
      </w:r>
      <w:r>
        <w:rPr/>
        <w:t>leaders</w:t>
      </w:r>
      <w:r>
        <w:rPr>
          <w:spacing w:val="29"/>
        </w:rPr>
        <w:t>  </w:t>
      </w:r>
      <w:r>
        <w:rPr/>
        <w:t>further</w:t>
      </w:r>
      <w:r>
        <w:rPr>
          <w:spacing w:val="30"/>
        </w:rPr>
        <w:t>  </w:t>
      </w:r>
      <w:r>
        <w:rPr/>
        <w:t>emphasizing</w:t>
      </w:r>
      <w:r>
        <w:rPr>
          <w:spacing w:val="30"/>
        </w:rPr>
        <w:t>  </w:t>
      </w:r>
      <w:r>
        <w:rPr>
          <w:spacing w:val="-5"/>
        </w:rPr>
        <w:t>the</w:t>
      </w:r>
    </w:p>
    <w:p>
      <w:pPr>
        <w:spacing w:after="0"/>
        <w:sectPr>
          <w:pgSz w:w="12240" w:h="15840"/>
          <w:pgMar w:header="723" w:footer="1065" w:top="1340" w:bottom="1260" w:left="1200" w:right="980"/>
          <w:cols w:num="2" w:equalWidth="0">
            <w:col w:w="4602" w:space="438"/>
            <w:col w:w="5020"/>
          </w:cols>
        </w:sectPr>
      </w:pPr>
    </w:p>
    <w:p>
      <w:pPr>
        <w:pStyle w:val="BodyText"/>
        <w:spacing w:before="81"/>
        <w:ind w:left="240" w:right="38"/>
        <w:jc w:val="both"/>
      </w:pPr>
      <w:r>
        <w:rPr/>
        <w:t>importance early detection, and encouraged individuals to speak to a doctor to learn more about CRC screening. In addition, CHEs distributed informational handouts, bookmarks with screening reinforcement messages, and </w:t>
      </w:r>
      <w:r>
        <w:rPr/>
        <w:t>a resource list of FOBT sites. At the end of the workshop participants completed the post-test. For bilingual and non-English speaking participants, depending upon their language (Chamorro, Marshallese, Samoan, and Tongan), appropriately translated in-language pre-and post-tests were distributed, and the CHEs assisted with further translating and competing the survey.</w:t>
      </w:r>
    </w:p>
    <w:p>
      <w:pPr>
        <w:pStyle w:val="BodyText"/>
        <w:spacing w:before="252"/>
        <w:ind w:left="240" w:right="38"/>
        <w:jc w:val="both"/>
      </w:pPr>
      <w:r>
        <w:rPr/>
        <w:t>Thank you gifts were given to participants for completing the surveys. Informed consent was obtained from participants implicitly when they chose to complete the pre-test and post-test survey. The data was collected and entered into SPSS (version 19) for analyses. All </w:t>
      </w:r>
      <w:r>
        <w:rPr/>
        <w:t>data collection instruments and procedures were approved by the California State University Fullerton Institutional Review Board.</w:t>
      </w:r>
    </w:p>
    <w:p>
      <w:pPr>
        <w:pStyle w:val="BodyText"/>
        <w:spacing w:before="1"/>
      </w:pPr>
    </w:p>
    <w:p>
      <w:pPr>
        <w:pStyle w:val="Heading2"/>
      </w:pPr>
      <w:r>
        <w:rPr>
          <w:spacing w:val="-2"/>
        </w:rPr>
        <w:t>Measures</w:t>
      </w:r>
    </w:p>
    <w:p>
      <w:pPr>
        <w:pStyle w:val="BodyText"/>
        <w:ind w:left="240" w:right="38"/>
        <w:jc w:val="both"/>
      </w:pPr>
      <w:r>
        <w:rPr/>
        <w:t>Demographic, enabling, predisposing, and intention variables were adapted from the California Health Interview Survey </w:t>
      </w:r>
      <w:r>
        <w:rPr/>
        <w:t>(CHIS, 2001). The demographic variables were: age, gender, educational attainment, race/ethnicity, and birthplace. The enabling variables were: received a referral for cancer screening, number of times seeing a doctor in the past 12 months, and ever heard of a sigmoidoscopy,</w:t>
      </w:r>
      <w:r>
        <w:rPr>
          <w:spacing w:val="40"/>
        </w:rPr>
        <w:t> </w:t>
      </w:r>
      <w:r>
        <w:rPr/>
        <w:t>colonoscopy,</w:t>
      </w:r>
      <w:r>
        <w:rPr>
          <w:spacing w:val="52"/>
        </w:rPr>
        <w:t>  </w:t>
      </w:r>
      <w:r>
        <w:rPr/>
        <w:t>or</w:t>
      </w:r>
      <w:r>
        <w:rPr>
          <w:spacing w:val="53"/>
        </w:rPr>
        <w:t>  </w:t>
      </w:r>
      <w:r>
        <w:rPr/>
        <w:t>FOBT.</w:t>
      </w:r>
      <w:r>
        <w:rPr>
          <w:spacing w:val="53"/>
        </w:rPr>
        <w:t>  </w:t>
      </w:r>
      <w:r>
        <w:rPr/>
        <w:t>The</w:t>
      </w:r>
      <w:r>
        <w:rPr>
          <w:spacing w:val="52"/>
        </w:rPr>
        <w:t>  </w:t>
      </w:r>
      <w:r>
        <w:rPr>
          <w:spacing w:val="-2"/>
        </w:rPr>
        <w:t>predisposing</w:t>
      </w:r>
    </w:p>
    <w:p>
      <w:pPr>
        <w:spacing w:before="82"/>
        <w:ind w:left="0" w:right="109" w:firstLine="0"/>
        <w:jc w:val="center"/>
        <w:rPr>
          <w:b/>
          <w:sz w:val="18"/>
        </w:rPr>
      </w:pPr>
      <w:r>
        <w:rPr/>
        <w:br w:type="column"/>
      </w:r>
      <w:r>
        <w:rPr>
          <w:b/>
          <w:sz w:val="18"/>
        </w:rPr>
        <w:t>Table </w:t>
      </w:r>
      <w:r>
        <w:rPr>
          <w:b/>
          <w:spacing w:val="-10"/>
          <w:sz w:val="18"/>
        </w:rPr>
        <w:t>1</w:t>
      </w:r>
    </w:p>
    <w:p>
      <w:pPr>
        <w:pStyle w:val="BodyText"/>
        <w:rPr>
          <w:b/>
          <w:sz w:val="18"/>
        </w:rPr>
      </w:pPr>
    </w:p>
    <w:p>
      <w:pPr>
        <w:tabs>
          <w:tab w:pos="1016" w:val="left" w:leader="none"/>
          <w:tab w:pos="5027" w:val="left" w:leader="none"/>
        </w:tabs>
        <w:spacing w:before="0"/>
        <w:ind w:left="240" w:right="0" w:firstLine="0"/>
        <w:jc w:val="left"/>
        <w:rPr>
          <w:b/>
          <w:sz w:val="18"/>
        </w:rPr>
      </w:pPr>
      <w:r>
        <w:rPr>
          <w:b/>
          <w:sz w:val="18"/>
          <w:u w:val="single"/>
        </w:rPr>
        <w:tab/>
        <w:t>Demographic</w:t>
      </w:r>
      <w:r>
        <w:rPr>
          <w:b/>
          <w:spacing w:val="-2"/>
          <w:sz w:val="18"/>
          <w:u w:val="single"/>
        </w:rPr>
        <w:t> </w:t>
      </w:r>
      <w:r>
        <w:rPr>
          <w:b/>
          <w:sz w:val="18"/>
          <w:u w:val="single"/>
        </w:rPr>
        <w:t>Characteristics</w:t>
      </w:r>
      <w:r>
        <w:rPr>
          <w:b/>
          <w:spacing w:val="-1"/>
          <w:sz w:val="18"/>
          <w:u w:val="single"/>
        </w:rPr>
        <w:t> </w:t>
      </w:r>
      <w:r>
        <w:rPr>
          <w:b/>
          <w:sz w:val="18"/>
          <w:u w:val="single"/>
        </w:rPr>
        <w:t>(n</w:t>
      </w:r>
      <w:r>
        <w:rPr>
          <w:b/>
          <w:spacing w:val="-1"/>
          <w:sz w:val="18"/>
          <w:u w:val="single"/>
        </w:rPr>
        <w:t> </w:t>
      </w:r>
      <w:r>
        <w:rPr>
          <w:b/>
          <w:sz w:val="18"/>
          <w:u w:val="single"/>
        </w:rPr>
        <w:t>=</w:t>
      </w:r>
      <w:r>
        <w:rPr>
          <w:b/>
          <w:spacing w:val="-1"/>
          <w:sz w:val="18"/>
          <w:u w:val="single"/>
        </w:rPr>
        <w:t> </w:t>
      </w:r>
      <w:r>
        <w:rPr>
          <w:b/>
          <w:spacing w:val="-4"/>
          <w:sz w:val="18"/>
          <w:u w:val="single"/>
        </w:rPr>
        <w:t>196)</w:t>
      </w:r>
      <w:r>
        <w:rPr>
          <w:b/>
          <w:sz w:val="18"/>
          <w:u w:val="single"/>
        </w:rPr>
        <w:tab/>
      </w:r>
    </w:p>
    <w:p>
      <w:pPr>
        <w:tabs>
          <w:tab w:pos="3901" w:val="left" w:leader="none"/>
          <w:tab w:pos="4592" w:val="left" w:leader="none"/>
        </w:tabs>
        <w:spacing w:before="7"/>
        <w:ind w:left="1413" w:right="0" w:firstLine="0"/>
        <w:jc w:val="left"/>
        <w:rPr>
          <w:sz w:val="18"/>
        </w:rPr>
      </w:pPr>
      <w:r>
        <w:rPr>
          <w:spacing w:val="-2"/>
          <w:sz w:val="18"/>
        </w:rPr>
        <w:t>Characteristic</w:t>
      </w:r>
      <w:r>
        <w:rPr>
          <w:sz w:val="18"/>
        </w:rPr>
        <w:tab/>
      </w:r>
      <w:r>
        <w:rPr>
          <w:spacing w:val="-10"/>
          <w:sz w:val="18"/>
        </w:rPr>
        <w:t>n</w:t>
      </w:r>
      <w:r>
        <w:rPr>
          <w:sz w:val="18"/>
        </w:rPr>
        <w:tab/>
      </w:r>
      <w:r>
        <w:rPr>
          <w:spacing w:val="-10"/>
          <w:sz w:val="18"/>
        </w:rPr>
        <w:t>%</w:t>
      </w:r>
    </w:p>
    <w:p>
      <w:pPr>
        <w:pStyle w:val="BodyText"/>
        <w:spacing w:before="4"/>
        <w:rPr>
          <w:sz w:val="5"/>
        </w:rPr>
      </w:pPr>
      <w:r>
        <w:rPr/>
        <mc:AlternateContent>
          <mc:Choice Requires="wps">
            <w:drawing>
              <wp:anchor distT="0" distB="0" distL="0" distR="0" allowOverlap="1" layoutInCell="1" locked="0" behindDoc="1" simplePos="0" relativeHeight="487587840">
                <wp:simplePos x="0" y="0"/>
                <wp:positionH relativeFrom="page">
                  <wp:posOffset>4046220</wp:posOffset>
                </wp:positionH>
                <wp:positionV relativeFrom="paragraph">
                  <wp:posOffset>54527</wp:posOffset>
                </wp:positionV>
                <wp:extent cx="3040380" cy="6350"/>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3040380" cy="6350"/>
                        </a:xfrm>
                        <a:custGeom>
                          <a:avLst/>
                          <a:gdLst/>
                          <a:ahLst/>
                          <a:cxnLst/>
                          <a:rect l="l" t="t" r="r" b="b"/>
                          <a:pathLst>
                            <a:path w="3040380" h="6350">
                              <a:moveTo>
                                <a:pt x="3040379" y="0"/>
                              </a:moveTo>
                              <a:lnTo>
                                <a:pt x="0" y="0"/>
                              </a:lnTo>
                              <a:lnTo>
                                <a:pt x="0" y="6096"/>
                              </a:lnTo>
                              <a:lnTo>
                                <a:pt x="3040379" y="6096"/>
                              </a:lnTo>
                              <a:lnTo>
                                <a:pt x="304037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18.600006pt;margin-top:4.293495pt;width:239.4pt;height:.48004pt;mso-position-horizontal-relative:page;mso-position-vertical-relative:paragraph;z-index:-15728640;mso-wrap-distance-left:0;mso-wrap-distance-right:0" id="docshape3" filled="true" fillcolor="#000000" stroked="false">
                <v:fill type="solid"/>
                <w10:wrap type="topAndBottom"/>
              </v:rect>
            </w:pict>
          </mc:Fallback>
        </mc:AlternateContent>
      </w:r>
    </w:p>
    <w:p>
      <w:pPr>
        <w:spacing w:before="0"/>
        <w:ind w:left="347" w:right="0" w:firstLine="0"/>
        <w:jc w:val="left"/>
        <w:rPr>
          <w:sz w:val="18"/>
        </w:rPr>
      </w:pPr>
      <w:r>
        <w:rPr>
          <w:spacing w:val="-5"/>
          <w:sz w:val="18"/>
        </w:rPr>
        <w:t>Age</w:t>
      </w:r>
    </w:p>
    <w:p>
      <w:pPr>
        <w:tabs>
          <w:tab w:pos="4020" w:val="left" w:leader="none"/>
          <w:tab w:pos="4605" w:val="left" w:leader="none"/>
        </w:tabs>
        <w:spacing w:before="76"/>
        <w:ind w:left="527" w:right="0" w:firstLine="0"/>
        <w:jc w:val="left"/>
        <w:rPr>
          <w:sz w:val="18"/>
        </w:rPr>
      </w:pPr>
      <w:r>
        <w:rPr>
          <w:sz w:val="18"/>
        </w:rPr>
        <w:t>50-</w:t>
      </w:r>
      <w:r>
        <w:rPr>
          <w:spacing w:val="-5"/>
          <w:sz w:val="18"/>
        </w:rPr>
        <w:t>59</w:t>
      </w:r>
      <w:r>
        <w:rPr>
          <w:sz w:val="18"/>
        </w:rPr>
        <w:tab/>
      </w:r>
      <w:r>
        <w:rPr>
          <w:spacing w:val="-5"/>
          <w:sz w:val="18"/>
        </w:rPr>
        <w:t>90</w:t>
      </w:r>
      <w:r>
        <w:rPr>
          <w:sz w:val="18"/>
        </w:rPr>
        <w:tab/>
      </w:r>
      <w:r>
        <w:rPr>
          <w:spacing w:val="-4"/>
          <w:sz w:val="18"/>
        </w:rPr>
        <w:t>45.9</w:t>
      </w:r>
    </w:p>
    <w:p>
      <w:pPr>
        <w:tabs>
          <w:tab w:pos="4020" w:val="left" w:leader="none"/>
          <w:tab w:pos="4605" w:val="left" w:leader="none"/>
        </w:tabs>
        <w:spacing w:before="81"/>
        <w:ind w:left="527" w:right="0" w:firstLine="0"/>
        <w:jc w:val="left"/>
        <w:rPr>
          <w:sz w:val="18"/>
        </w:rPr>
      </w:pPr>
      <w:r>
        <w:rPr>
          <w:sz w:val="18"/>
        </w:rPr>
        <w:t>60-</w:t>
      </w:r>
      <w:r>
        <w:rPr>
          <w:spacing w:val="-5"/>
          <w:sz w:val="18"/>
        </w:rPr>
        <w:t>69</w:t>
      </w:r>
      <w:r>
        <w:rPr>
          <w:sz w:val="18"/>
        </w:rPr>
        <w:tab/>
      </w:r>
      <w:r>
        <w:rPr>
          <w:spacing w:val="-5"/>
          <w:sz w:val="18"/>
        </w:rPr>
        <w:t>91</w:t>
      </w:r>
      <w:r>
        <w:rPr>
          <w:sz w:val="18"/>
        </w:rPr>
        <w:tab/>
      </w:r>
      <w:r>
        <w:rPr>
          <w:spacing w:val="-4"/>
          <w:sz w:val="18"/>
        </w:rPr>
        <w:t>46.4</w:t>
      </w:r>
    </w:p>
    <w:p>
      <w:pPr>
        <w:tabs>
          <w:tab w:pos="4019" w:val="left" w:leader="none"/>
          <w:tab w:pos="4920" w:val="right" w:leader="none"/>
        </w:tabs>
        <w:spacing w:before="81"/>
        <w:ind w:left="527" w:right="0" w:firstLine="0"/>
        <w:jc w:val="left"/>
        <w:rPr>
          <w:sz w:val="18"/>
        </w:rPr>
      </w:pPr>
      <w:r>
        <w:rPr>
          <w:sz w:val="18"/>
        </w:rPr>
        <w:t>70 and </w:t>
      </w:r>
      <w:r>
        <w:rPr>
          <w:spacing w:val="-2"/>
          <w:sz w:val="18"/>
        </w:rPr>
        <w:t>older</w:t>
      </w:r>
      <w:r>
        <w:rPr>
          <w:sz w:val="18"/>
        </w:rPr>
        <w:tab/>
      </w:r>
      <w:r>
        <w:rPr>
          <w:spacing w:val="-5"/>
          <w:sz w:val="18"/>
        </w:rPr>
        <w:t>15</w:t>
      </w:r>
      <w:r>
        <w:rPr>
          <w:sz w:val="18"/>
        </w:rPr>
        <w:tab/>
      </w:r>
      <w:r>
        <w:rPr>
          <w:spacing w:val="-5"/>
          <w:sz w:val="18"/>
        </w:rPr>
        <w:t>7.7</w:t>
      </w:r>
    </w:p>
    <w:p>
      <w:pPr>
        <w:spacing w:before="81"/>
        <w:ind w:left="347" w:right="0" w:firstLine="0"/>
        <w:jc w:val="left"/>
        <w:rPr>
          <w:sz w:val="18"/>
        </w:rPr>
      </w:pPr>
      <w:r>
        <w:rPr>
          <w:spacing w:val="-2"/>
          <w:sz w:val="18"/>
        </w:rPr>
        <w:t>Education</w:t>
      </w:r>
    </w:p>
    <w:p>
      <w:pPr>
        <w:pStyle w:val="BodyText"/>
        <w:spacing w:before="8"/>
        <w:rPr>
          <w:sz w:val="7"/>
        </w:rPr>
      </w:pPr>
    </w:p>
    <w:tbl>
      <w:tblPr>
        <w:tblW w:w="0" w:type="auto"/>
        <w:jc w:val="left"/>
        <w:tblInd w:w="3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256"/>
        <w:gridCol w:w="849"/>
        <w:gridCol w:w="568"/>
      </w:tblGrid>
      <w:tr>
        <w:trPr>
          <w:trHeight w:val="243" w:hRule="atLeast"/>
        </w:trPr>
        <w:tc>
          <w:tcPr>
            <w:tcW w:w="3256" w:type="dxa"/>
          </w:tcPr>
          <w:p>
            <w:pPr>
              <w:pStyle w:val="TableParagraph"/>
              <w:spacing w:line="199" w:lineRule="exact"/>
              <w:ind w:left="230"/>
              <w:rPr>
                <w:sz w:val="18"/>
              </w:rPr>
            </w:pPr>
            <w:r>
              <w:rPr>
                <w:sz w:val="18"/>
              </w:rPr>
              <w:t>Less than</w:t>
            </w:r>
            <w:r>
              <w:rPr>
                <w:spacing w:val="-1"/>
                <w:sz w:val="18"/>
              </w:rPr>
              <w:t> </w:t>
            </w:r>
            <w:r>
              <w:rPr>
                <w:sz w:val="18"/>
              </w:rPr>
              <w:t>high</w:t>
            </w:r>
            <w:r>
              <w:rPr>
                <w:spacing w:val="-1"/>
                <w:sz w:val="18"/>
              </w:rPr>
              <w:t> </w:t>
            </w:r>
            <w:r>
              <w:rPr>
                <w:spacing w:val="-2"/>
                <w:sz w:val="18"/>
              </w:rPr>
              <w:t>school</w:t>
            </w:r>
          </w:p>
        </w:tc>
        <w:tc>
          <w:tcPr>
            <w:tcW w:w="849" w:type="dxa"/>
          </w:tcPr>
          <w:p>
            <w:pPr>
              <w:pStyle w:val="TableParagraph"/>
              <w:spacing w:line="199" w:lineRule="exact"/>
              <w:ind w:right="201"/>
              <w:jc w:val="right"/>
              <w:rPr>
                <w:sz w:val="18"/>
              </w:rPr>
            </w:pPr>
            <w:r>
              <w:rPr>
                <w:spacing w:val="-5"/>
                <w:sz w:val="18"/>
              </w:rPr>
              <w:t>11</w:t>
            </w:r>
          </w:p>
        </w:tc>
        <w:tc>
          <w:tcPr>
            <w:tcW w:w="568" w:type="dxa"/>
          </w:tcPr>
          <w:p>
            <w:pPr>
              <w:pStyle w:val="TableParagraph"/>
              <w:spacing w:line="199" w:lineRule="exact"/>
              <w:ind w:left="244"/>
              <w:jc w:val="center"/>
              <w:rPr>
                <w:sz w:val="18"/>
              </w:rPr>
            </w:pPr>
            <w:r>
              <w:rPr>
                <w:spacing w:val="-5"/>
                <w:sz w:val="18"/>
              </w:rPr>
              <w:t>5.6</w:t>
            </w:r>
          </w:p>
        </w:tc>
      </w:tr>
      <w:tr>
        <w:trPr>
          <w:trHeight w:val="287" w:hRule="atLeast"/>
        </w:trPr>
        <w:tc>
          <w:tcPr>
            <w:tcW w:w="3256" w:type="dxa"/>
          </w:tcPr>
          <w:p>
            <w:pPr>
              <w:pStyle w:val="TableParagraph"/>
              <w:spacing w:before="36"/>
              <w:ind w:left="230"/>
              <w:rPr>
                <w:sz w:val="18"/>
              </w:rPr>
            </w:pPr>
            <w:r>
              <w:rPr>
                <w:sz w:val="18"/>
              </w:rPr>
              <w:t>High</w:t>
            </w:r>
            <w:r>
              <w:rPr>
                <w:spacing w:val="-3"/>
                <w:sz w:val="18"/>
              </w:rPr>
              <w:t> </w:t>
            </w:r>
            <w:r>
              <w:rPr>
                <w:spacing w:val="-2"/>
                <w:sz w:val="18"/>
              </w:rPr>
              <w:t>school</w:t>
            </w:r>
          </w:p>
        </w:tc>
        <w:tc>
          <w:tcPr>
            <w:tcW w:w="849" w:type="dxa"/>
          </w:tcPr>
          <w:p>
            <w:pPr>
              <w:pStyle w:val="TableParagraph"/>
              <w:spacing w:before="36"/>
              <w:ind w:right="200"/>
              <w:jc w:val="right"/>
              <w:rPr>
                <w:sz w:val="18"/>
              </w:rPr>
            </w:pPr>
            <w:r>
              <w:rPr>
                <w:spacing w:val="-5"/>
                <w:sz w:val="18"/>
              </w:rPr>
              <w:t>112</w:t>
            </w:r>
          </w:p>
        </w:tc>
        <w:tc>
          <w:tcPr>
            <w:tcW w:w="568" w:type="dxa"/>
          </w:tcPr>
          <w:p>
            <w:pPr>
              <w:pStyle w:val="TableParagraph"/>
              <w:spacing w:before="36"/>
              <w:ind w:left="153"/>
              <w:jc w:val="center"/>
              <w:rPr>
                <w:sz w:val="18"/>
              </w:rPr>
            </w:pPr>
            <w:r>
              <w:rPr>
                <w:spacing w:val="-4"/>
                <w:sz w:val="18"/>
              </w:rPr>
              <w:t>57.4</w:t>
            </w:r>
          </w:p>
        </w:tc>
      </w:tr>
      <w:tr>
        <w:trPr>
          <w:trHeight w:val="288" w:hRule="atLeast"/>
        </w:trPr>
        <w:tc>
          <w:tcPr>
            <w:tcW w:w="3256" w:type="dxa"/>
          </w:tcPr>
          <w:p>
            <w:pPr>
              <w:pStyle w:val="TableParagraph"/>
              <w:spacing w:before="36"/>
              <w:ind w:left="230"/>
              <w:rPr>
                <w:sz w:val="18"/>
              </w:rPr>
            </w:pPr>
            <w:r>
              <w:rPr>
                <w:sz w:val="18"/>
              </w:rPr>
              <w:t>Vocational,</w:t>
            </w:r>
            <w:r>
              <w:rPr>
                <w:spacing w:val="-1"/>
                <w:sz w:val="18"/>
              </w:rPr>
              <w:t> </w:t>
            </w:r>
            <w:r>
              <w:rPr>
                <w:sz w:val="18"/>
              </w:rPr>
              <w:t>business, or</w:t>
            </w:r>
            <w:r>
              <w:rPr>
                <w:spacing w:val="-2"/>
                <w:sz w:val="18"/>
              </w:rPr>
              <w:t> </w:t>
            </w:r>
            <w:r>
              <w:rPr>
                <w:sz w:val="18"/>
              </w:rPr>
              <w:t>trade </w:t>
            </w:r>
            <w:r>
              <w:rPr>
                <w:spacing w:val="-2"/>
                <w:sz w:val="18"/>
              </w:rPr>
              <w:t>school</w:t>
            </w:r>
          </w:p>
        </w:tc>
        <w:tc>
          <w:tcPr>
            <w:tcW w:w="849" w:type="dxa"/>
          </w:tcPr>
          <w:p>
            <w:pPr>
              <w:pStyle w:val="TableParagraph"/>
              <w:spacing w:before="36"/>
              <w:ind w:right="200"/>
              <w:jc w:val="right"/>
              <w:rPr>
                <w:sz w:val="18"/>
              </w:rPr>
            </w:pPr>
            <w:r>
              <w:rPr>
                <w:spacing w:val="-5"/>
                <w:sz w:val="18"/>
              </w:rPr>
              <w:t>10</w:t>
            </w:r>
          </w:p>
        </w:tc>
        <w:tc>
          <w:tcPr>
            <w:tcW w:w="568" w:type="dxa"/>
          </w:tcPr>
          <w:p>
            <w:pPr>
              <w:pStyle w:val="TableParagraph"/>
              <w:spacing w:before="36"/>
              <w:ind w:left="244" w:right="2"/>
              <w:jc w:val="center"/>
              <w:rPr>
                <w:sz w:val="18"/>
              </w:rPr>
            </w:pPr>
            <w:r>
              <w:rPr>
                <w:spacing w:val="-5"/>
                <w:sz w:val="18"/>
              </w:rPr>
              <w:t>5.1</w:t>
            </w:r>
          </w:p>
        </w:tc>
      </w:tr>
      <w:tr>
        <w:trPr>
          <w:trHeight w:val="243" w:hRule="atLeast"/>
        </w:trPr>
        <w:tc>
          <w:tcPr>
            <w:tcW w:w="3256" w:type="dxa"/>
          </w:tcPr>
          <w:p>
            <w:pPr>
              <w:pStyle w:val="TableParagraph"/>
              <w:spacing w:line="187" w:lineRule="exact" w:before="36"/>
              <w:ind w:left="230"/>
              <w:rPr>
                <w:sz w:val="18"/>
              </w:rPr>
            </w:pPr>
            <w:r>
              <w:rPr>
                <w:sz w:val="18"/>
              </w:rPr>
              <w:t>Some </w:t>
            </w:r>
            <w:r>
              <w:rPr>
                <w:spacing w:val="-2"/>
                <w:sz w:val="18"/>
              </w:rPr>
              <w:t>college</w:t>
            </w:r>
          </w:p>
        </w:tc>
        <w:tc>
          <w:tcPr>
            <w:tcW w:w="849" w:type="dxa"/>
          </w:tcPr>
          <w:p>
            <w:pPr>
              <w:pStyle w:val="TableParagraph"/>
              <w:spacing w:line="187" w:lineRule="exact" w:before="36"/>
              <w:ind w:right="200"/>
              <w:jc w:val="right"/>
              <w:rPr>
                <w:sz w:val="18"/>
              </w:rPr>
            </w:pPr>
            <w:r>
              <w:rPr>
                <w:spacing w:val="-5"/>
                <w:sz w:val="18"/>
              </w:rPr>
              <w:t>62</w:t>
            </w:r>
          </w:p>
        </w:tc>
        <w:tc>
          <w:tcPr>
            <w:tcW w:w="568" w:type="dxa"/>
          </w:tcPr>
          <w:p>
            <w:pPr>
              <w:pStyle w:val="TableParagraph"/>
              <w:spacing w:line="187" w:lineRule="exact" w:before="36"/>
              <w:ind w:left="153"/>
              <w:jc w:val="center"/>
              <w:rPr>
                <w:sz w:val="18"/>
              </w:rPr>
            </w:pPr>
            <w:r>
              <w:rPr>
                <w:spacing w:val="-4"/>
                <w:sz w:val="18"/>
              </w:rPr>
              <w:t>31.8</w:t>
            </w:r>
          </w:p>
        </w:tc>
      </w:tr>
      <w:tr>
        <w:trPr>
          <w:trHeight w:val="332" w:hRule="atLeast"/>
        </w:trPr>
        <w:tc>
          <w:tcPr>
            <w:tcW w:w="3256" w:type="dxa"/>
          </w:tcPr>
          <w:p>
            <w:pPr>
              <w:pStyle w:val="TableParagraph"/>
              <w:spacing w:before="81"/>
              <w:ind w:left="50"/>
              <w:rPr>
                <w:sz w:val="18"/>
              </w:rPr>
            </w:pPr>
            <w:r>
              <w:rPr>
                <w:spacing w:val="-2"/>
                <w:sz w:val="18"/>
              </w:rPr>
              <w:t>Gender</w:t>
            </w:r>
          </w:p>
        </w:tc>
        <w:tc>
          <w:tcPr>
            <w:tcW w:w="849" w:type="dxa"/>
          </w:tcPr>
          <w:p>
            <w:pPr>
              <w:pStyle w:val="TableParagraph"/>
              <w:rPr>
                <w:sz w:val="20"/>
              </w:rPr>
            </w:pPr>
          </w:p>
        </w:tc>
        <w:tc>
          <w:tcPr>
            <w:tcW w:w="568" w:type="dxa"/>
          </w:tcPr>
          <w:p>
            <w:pPr>
              <w:pStyle w:val="TableParagraph"/>
              <w:rPr>
                <w:sz w:val="20"/>
              </w:rPr>
            </w:pPr>
          </w:p>
        </w:tc>
      </w:tr>
      <w:tr>
        <w:trPr>
          <w:trHeight w:val="287" w:hRule="atLeast"/>
        </w:trPr>
        <w:tc>
          <w:tcPr>
            <w:tcW w:w="3256" w:type="dxa"/>
          </w:tcPr>
          <w:p>
            <w:pPr>
              <w:pStyle w:val="TableParagraph"/>
              <w:spacing w:before="36"/>
              <w:ind w:left="230"/>
              <w:rPr>
                <w:sz w:val="18"/>
              </w:rPr>
            </w:pPr>
            <w:r>
              <w:rPr>
                <w:spacing w:val="-2"/>
                <w:sz w:val="18"/>
              </w:rPr>
              <w:t>Female</w:t>
            </w:r>
          </w:p>
        </w:tc>
        <w:tc>
          <w:tcPr>
            <w:tcW w:w="849" w:type="dxa"/>
          </w:tcPr>
          <w:p>
            <w:pPr>
              <w:pStyle w:val="TableParagraph"/>
              <w:spacing w:before="36"/>
              <w:ind w:right="200"/>
              <w:jc w:val="right"/>
              <w:rPr>
                <w:sz w:val="18"/>
              </w:rPr>
            </w:pPr>
            <w:r>
              <w:rPr>
                <w:spacing w:val="-5"/>
                <w:sz w:val="18"/>
              </w:rPr>
              <w:t>178</w:t>
            </w:r>
          </w:p>
        </w:tc>
        <w:tc>
          <w:tcPr>
            <w:tcW w:w="568" w:type="dxa"/>
          </w:tcPr>
          <w:p>
            <w:pPr>
              <w:pStyle w:val="TableParagraph"/>
              <w:spacing w:before="36"/>
              <w:ind w:left="153"/>
              <w:jc w:val="center"/>
              <w:rPr>
                <w:sz w:val="18"/>
              </w:rPr>
            </w:pPr>
            <w:r>
              <w:rPr>
                <w:spacing w:val="-4"/>
                <w:sz w:val="18"/>
              </w:rPr>
              <w:t>90.8</w:t>
            </w:r>
          </w:p>
        </w:tc>
      </w:tr>
      <w:tr>
        <w:trPr>
          <w:trHeight w:val="288" w:hRule="atLeast"/>
        </w:trPr>
        <w:tc>
          <w:tcPr>
            <w:tcW w:w="3256" w:type="dxa"/>
          </w:tcPr>
          <w:p>
            <w:pPr>
              <w:pStyle w:val="TableParagraph"/>
              <w:spacing w:before="36"/>
              <w:ind w:left="230"/>
              <w:rPr>
                <w:sz w:val="18"/>
              </w:rPr>
            </w:pPr>
            <w:r>
              <w:rPr>
                <w:spacing w:val="-4"/>
                <w:sz w:val="18"/>
              </w:rPr>
              <w:t>Male</w:t>
            </w:r>
          </w:p>
        </w:tc>
        <w:tc>
          <w:tcPr>
            <w:tcW w:w="849" w:type="dxa"/>
          </w:tcPr>
          <w:p>
            <w:pPr>
              <w:pStyle w:val="TableParagraph"/>
              <w:spacing w:before="36"/>
              <w:ind w:right="200"/>
              <w:jc w:val="right"/>
              <w:rPr>
                <w:sz w:val="18"/>
              </w:rPr>
            </w:pPr>
            <w:r>
              <w:rPr>
                <w:spacing w:val="-5"/>
                <w:sz w:val="18"/>
              </w:rPr>
              <w:t>18</w:t>
            </w:r>
          </w:p>
        </w:tc>
        <w:tc>
          <w:tcPr>
            <w:tcW w:w="568" w:type="dxa"/>
          </w:tcPr>
          <w:p>
            <w:pPr>
              <w:pStyle w:val="TableParagraph"/>
              <w:spacing w:before="36"/>
              <w:ind w:left="244" w:right="1"/>
              <w:jc w:val="center"/>
              <w:rPr>
                <w:sz w:val="18"/>
              </w:rPr>
            </w:pPr>
            <w:r>
              <w:rPr>
                <w:spacing w:val="-5"/>
                <w:sz w:val="18"/>
              </w:rPr>
              <w:t>9.2</w:t>
            </w:r>
          </w:p>
        </w:tc>
      </w:tr>
      <w:tr>
        <w:trPr>
          <w:trHeight w:val="243" w:hRule="atLeast"/>
        </w:trPr>
        <w:tc>
          <w:tcPr>
            <w:tcW w:w="3256" w:type="dxa"/>
          </w:tcPr>
          <w:p>
            <w:pPr>
              <w:pStyle w:val="TableParagraph"/>
              <w:spacing w:line="187" w:lineRule="exact" w:before="36"/>
              <w:ind w:left="50"/>
              <w:rPr>
                <w:sz w:val="18"/>
              </w:rPr>
            </w:pPr>
            <w:r>
              <w:rPr>
                <w:spacing w:val="-2"/>
                <w:sz w:val="18"/>
              </w:rPr>
              <w:t>Race/Ethnicity</w:t>
            </w:r>
          </w:p>
        </w:tc>
        <w:tc>
          <w:tcPr>
            <w:tcW w:w="849" w:type="dxa"/>
          </w:tcPr>
          <w:p>
            <w:pPr>
              <w:pStyle w:val="TableParagraph"/>
              <w:rPr>
                <w:sz w:val="16"/>
              </w:rPr>
            </w:pPr>
          </w:p>
        </w:tc>
        <w:tc>
          <w:tcPr>
            <w:tcW w:w="568" w:type="dxa"/>
          </w:tcPr>
          <w:p>
            <w:pPr>
              <w:pStyle w:val="TableParagraph"/>
              <w:rPr>
                <w:sz w:val="16"/>
              </w:rPr>
            </w:pPr>
          </w:p>
        </w:tc>
      </w:tr>
      <w:tr>
        <w:trPr>
          <w:trHeight w:val="332" w:hRule="atLeast"/>
        </w:trPr>
        <w:tc>
          <w:tcPr>
            <w:tcW w:w="3256" w:type="dxa"/>
          </w:tcPr>
          <w:p>
            <w:pPr>
              <w:pStyle w:val="TableParagraph"/>
              <w:spacing w:before="81"/>
              <w:ind w:left="230"/>
              <w:rPr>
                <w:sz w:val="18"/>
              </w:rPr>
            </w:pPr>
            <w:r>
              <w:rPr>
                <w:spacing w:val="-2"/>
                <w:sz w:val="18"/>
              </w:rPr>
              <w:t>Chamorro</w:t>
            </w:r>
          </w:p>
        </w:tc>
        <w:tc>
          <w:tcPr>
            <w:tcW w:w="849" w:type="dxa"/>
          </w:tcPr>
          <w:p>
            <w:pPr>
              <w:pStyle w:val="TableParagraph"/>
              <w:spacing w:before="81"/>
              <w:ind w:right="200"/>
              <w:jc w:val="right"/>
              <w:rPr>
                <w:sz w:val="18"/>
              </w:rPr>
            </w:pPr>
            <w:r>
              <w:rPr>
                <w:spacing w:val="-5"/>
                <w:sz w:val="18"/>
              </w:rPr>
              <w:t>179</w:t>
            </w:r>
          </w:p>
        </w:tc>
        <w:tc>
          <w:tcPr>
            <w:tcW w:w="568" w:type="dxa"/>
          </w:tcPr>
          <w:p>
            <w:pPr>
              <w:pStyle w:val="TableParagraph"/>
              <w:spacing w:before="81"/>
              <w:ind w:left="153"/>
              <w:jc w:val="center"/>
              <w:rPr>
                <w:sz w:val="18"/>
              </w:rPr>
            </w:pPr>
            <w:r>
              <w:rPr>
                <w:spacing w:val="-4"/>
                <w:sz w:val="18"/>
              </w:rPr>
              <w:t>91.3</w:t>
            </w:r>
          </w:p>
        </w:tc>
      </w:tr>
      <w:tr>
        <w:trPr>
          <w:trHeight w:val="287" w:hRule="atLeast"/>
        </w:trPr>
        <w:tc>
          <w:tcPr>
            <w:tcW w:w="3256" w:type="dxa"/>
          </w:tcPr>
          <w:p>
            <w:pPr>
              <w:pStyle w:val="TableParagraph"/>
              <w:spacing w:before="36"/>
              <w:ind w:left="230"/>
              <w:rPr>
                <w:sz w:val="18"/>
              </w:rPr>
            </w:pPr>
            <w:r>
              <w:rPr>
                <w:spacing w:val="-2"/>
                <w:sz w:val="18"/>
              </w:rPr>
              <w:t>Samoan</w:t>
            </w:r>
          </w:p>
        </w:tc>
        <w:tc>
          <w:tcPr>
            <w:tcW w:w="849" w:type="dxa"/>
          </w:tcPr>
          <w:p>
            <w:pPr>
              <w:pStyle w:val="TableParagraph"/>
              <w:spacing w:before="36"/>
              <w:ind w:right="200"/>
              <w:jc w:val="right"/>
              <w:rPr>
                <w:sz w:val="18"/>
              </w:rPr>
            </w:pPr>
            <w:r>
              <w:rPr>
                <w:spacing w:val="-10"/>
                <w:sz w:val="18"/>
              </w:rPr>
              <w:t>8</w:t>
            </w:r>
          </w:p>
        </w:tc>
        <w:tc>
          <w:tcPr>
            <w:tcW w:w="568" w:type="dxa"/>
          </w:tcPr>
          <w:p>
            <w:pPr>
              <w:pStyle w:val="TableParagraph"/>
              <w:spacing w:before="36"/>
              <w:ind w:left="244" w:right="1"/>
              <w:jc w:val="center"/>
              <w:rPr>
                <w:sz w:val="18"/>
              </w:rPr>
            </w:pPr>
            <w:r>
              <w:rPr>
                <w:spacing w:val="-5"/>
                <w:sz w:val="18"/>
              </w:rPr>
              <w:t>4.1</w:t>
            </w:r>
          </w:p>
        </w:tc>
      </w:tr>
      <w:tr>
        <w:trPr>
          <w:trHeight w:val="287" w:hRule="atLeast"/>
        </w:trPr>
        <w:tc>
          <w:tcPr>
            <w:tcW w:w="3256" w:type="dxa"/>
          </w:tcPr>
          <w:p>
            <w:pPr>
              <w:pStyle w:val="TableParagraph"/>
              <w:spacing w:before="36"/>
              <w:ind w:left="230"/>
              <w:rPr>
                <w:sz w:val="18"/>
              </w:rPr>
            </w:pPr>
            <w:r>
              <w:rPr>
                <w:spacing w:val="-2"/>
                <w:sz w:val="18"/>
              </w:rPr>
              <w:t>Tongan</w:t>
            </w:r>
          </w:p>
        </w:tc>
        <w:tc>
          <w:tcPr>
            <w:tcW w:w="849" w:type="dxa"/>
          </w:tcPr>
          <w:p>
            <w:pPr>
              <w:pStyle w:val="TableParagraph"/>
              <w:spacing w:before="36"/>
              <w:ind w:right="201"/>
              <w:jc w:val="right"/>
              <w:rPr>
                <w:sz w:val="18"/>
              </w:rPr>
            </w:pPr>
            <w:r>
              <w:rPr>
                <w:spacing w:val="-10"/>
                <w:sz w:val="18"/>
              </w:rPr>
              <w:t>6</w:t>
            </w:r>
          </w:p>
        </w:tc>
        <w:tc>
          <w:tcPr>
            <w:tcW w:w="568" w:type="dxa"/>
          </w:tcPr>
          <w:p>
            <w:pPr>
              <w:pStyle w:val="TableParagraph"/>
              <w:spacing w:before="36"/>
              <w:ind w:left="244" w:right="2"/>
              <w:jc w:val="center"/>
              <w:rPr>
                <w:sz w:val="18"/>
              </w:rPr>
            </w:pPr>
            <w:r>
              <w:rPr>
                <w:spacing w:val="-5"/>
                <w:sz w:val="18"/>
              </w:rPr>
              <w:t>3.1</w:t>
            </w:r>
          </w:p>
        </w:tc>
      </w:tr>
      <w:tr>
        <w:trPr>
          <w:trHeight w:val="243" w:hRule="atLeast"/>
        </w:trPr>
        <w:tc>
          <w:tcPr>
            <w:tcW w:w="3256" w:type="dxa"/>
          </w:tcPr>
          <w:p>
            <w:pPr>
              <w:pStyle w:val="TableParagraph"/>
              <w:spacing w:line="187" w:lineRule="exact" w:before="36"/>
              <w:ind w:left="230"/>
              <w:rPr>
                <w:sz w:val="18"/>
              </w:rPr>
            </w:pPr>
            <w:r>
              <w:rPr>
                <w:sz w:val="18"/>
              </w:rPr>
              <w:t>Other Pacific </w:t>
            </w:r>
            <w:r>
              <w:rPr>
                <w:spacing w:val="-2"/>
                <w:sz w:val="18"/>
              </w:rPr>
              <w:t>Islander</w:t>
            </w:r>
          </w:p>
        </w:tc>
        <w:tc>
          <w:tcPr>
            <w:tcW w:w="849" w:type="dxa"/>
          </w:tcPr>
          <w:p>
            <w:pPr>
              <w:pStyle w:val="TableParagraph"/>
              <w:spacing w:line="187" w:lineRule="exact" w:before="36"/>
              <w:ind w:right="200"/>
              <w:jc w:val="right"/>
              <w:rPr>
                <w:sz w:val="18"/>
              </w:rPr>
            </w:pPr>
            <w:r>
              <w:rPr>
                <w:spacing w:val="-10"/>
                <w:sz w:val="18"/>
              </w:rPr>
              <w:t>3</w:t>
            </w:r>
          </w:p>
        </w:tc>
        <w:tc>
          <w:tcPr>
            <w:tcW w:w="568" w:type="dxa"/>
          </w:tcPr>
          <w:p>
            <w:pPr>
              <w:pStyle w:val="TableParagraph"/>
              <w:spacing w:line="187" w:lineRule="exact" w:before="36"/>
              <w:ind w:left="244"/>
              <w:jc w:val="center"/>
              <w:rPr>
                <w:sz w:val="18"/>
              </w:rPr>
            </w:pPr>
            <w:r>
              <w:rPr>
                <w:spacing w:val="-5"/>
                <w:sz w:val="18"/>
              </w:rPr>
              <w:t>1.5</w:t>
            </w:r>
          </w:p>
        </w:tc>
      </w:tr>
    </w:tbl>
    <w:p>
      <w:pPr>
        <w:spacing w:before="88"/>
        <w:ind w:left="347" w:right="1273" w:firstLine="0"/>
        <w:jc w:val="left"/>
        <w:rPr>
          <w:sz w:val="18"/>
        </w:rPr>
      </w:pPr>
      <w:r>
        <w:rPr>
          <w:sz w:val="18"/>
        </w:rPr>
        <w:t>Have</w:t>
      </w:r>
      <w:r>
        <w:rPr>
          <w:spacing w:val="-7"/>
          <w:sz w:val="18"/>
        </w:rPr>
        <w:t> </w:t>
      </w:r>
      <w:r>
        <w:rPr>
          <w:sz w:val="18"/>
        </w:rPr>
        <w:t>you</w:t>
      </w:r>
      <w:r>
        <w:rPr>
          <w:spacing w:val="-7"/>
          <w:sz w:val="18"/>
        </w:rPr>
        <w:t> </w:t>
      </w:r>
      <w:r>
        <w:rPr>
          <w:sz w:val="18"/>
        </w:rPr>
        <w:t>received</w:t>
      </w:r>
      <w:r>
        <w:rPr>
          <w:spacing w:val="-6"/>
          <w:sz w:val="18"/>
        </w:rPr>
        <w:t> </w:t>
      </w:r>
      <w:r>
        <w:rPr>
          <w:sz w:val="18"/>
        </w:rPr>
        <w:t>a</w:t>
      </w:r>
      <w:r>
        <w:rPr>
          <w:spacing w:val="-6"/>
          <w:sz w:val="18"/>
        </w:rPr>
        <w:t> </w:t>
      </w:r>
      <w:r>
        <w:rPr>
          <w:sz w:val="18"/>
        </w:rPr>
        <w:t>referral</w:t>
      </w:r>
      <w:r>
        <w:rPr>
          <w:spacing w:val="-6"/>
          <w:sz w:val="18"/>
        </w:rPr>
        <w:t> </w:t>
      </w:r>
      <w:r>
        <w:rPr>
          <w:sz w:val="18"/>
        </w:rPr>
        <w:t>for</w:t>
      </w:r>
      <w:r>
        <w:rPr>
          <w:spacing w:val="-8"/>
          <w:sz w:val="18"/>
        </w:rPr>
        <w:t> </w:t>
      </w:r>
      <w:r>
        <w:rPr>
          <w:sz w:val="18"/>
        </w:rPr>
        <w:t>cancer </w:t>
      </w:r>
      <w:r>
        <w:rPr>
          <w:spacing w:val="-2"/>
          <w:sz w:val="18"/>
        </w:rPr>
        <w:t>screening?</w:t>
      </w:r>
    </w:p>
    <w:p>
      <w:pPr>
        <w:tabs>
          <w:tab w:pos="4020" w:val="left" w:leader="none"/>
          <w:tab w:pos="4920" w:val="right" w:leader="none"/>
        </w:tabs>
        <w:spacing w:before="0"/>
        <w:ind w:left="527" w:right="0" w:firstLine="0"/>
        <w:jc w:val="left"/>
        <w:rPr>
          <w:sz w:val="18"/>
        </w:rPr>
      </w:pPr>
      <w:r>
        <w:rPr>
          <w:spacing w:val="-5"/>
          <w:sz w:val="18"/>
        </w:rPr>
        <w:t>Yes</w:t>
      </w:r>
      <w:r>
        <w:rPr>
          <w:sz w:val="18"/>
        </w:rPr>
        <w:tab/>
      </w:r>
      <w:r>
        <w:rPr>
          <w:spacing w:val="-5"/>
          <w:sz w:val="18"/>
        </w:rPr>
        <w:t>21</w:t>
      </w:r>
      <w:r>
        <w:rPr>
          <w:sz w:val="18"/>
        </w:rPr>
        <w:tab/>
      </w:r>
      <w:r>
        <w:rPr>
          <w:spacing w:val="-4"/>
          <w:sz w:val="18"/>
        </w:rPr>
        <w:t>11.2</w:t>
      </w:r>
    </w:p>
    <w:p>
      <w:pPr>
        <w:tabs>
          <w:tab w:pos="3930" w:val="left" w:leader="none"/>
          <w:tab w:pos="4921" w:val="right" w:leader="none"/>
        </w:tabs>
        <w:spacing w:before="81"/>
        <w:ind w:left="527" w:right="0" w:firstLine="0"/>
        <w:jc w:val="left"/>
        <w:rPr>
          <w:sz w:val="18"/>
        </w:rPr>
      </w:pPr>
      <w:r>
        <w:rPr>
          <w:spacing w:val="-5"/>
          <w:sz w:val="18"/>
        </w:rPr>
        <w:t>No</w:t>
      </w:r>
      <w:r>
        <w:rPr>
          <w:sz w:val="18"/>
        </w:rPr>
        <w:tab/>
      </w:r>
      <w:r>
        <w:rPr>
          <w:spacing w:val="-5"/>
          <w:sz w:val="18"/>
        </w:rPr>
        <w:t>167</w:t>
      </w:r>
      <w:r>
        <w:rPr>
          <w:sz w:val="18"/>
        </w:rPr>
        <w:tab/>
      </w:r>
      <w:r>
        <w:rPr>
          <w:spacing w:val="-4"/>
          <w:sz w:val="18"/>
        </w:rPr>
        <w:t>88.8</w:t>
      </w:r>
    </w:p>
    <w:p>
      <w:pPr>
        <w:spacing w:before="81"/>
        <w:ind w:left="347" w:right="0" w:firstLine="0"/>
        <w:jc w:val="left"/>
        <w:rPr>
          <w:sz w:val="18"/>
        </w:rPr>
      </w:pPr>
      <w:r>
        <w:rPr>
          <w:sz w:val="18"/>
        </w:rPr>
        <w:t>Where</w:t>
      </w:r>
      <w:r>
        <w:rPr>
          <w:spacing w:val="-1"/>
          <w:sz w:val="18"/>
        </w:rPr>
        <w:t> </w:t>
      </w:r>
      <w:r>
        <w:rPr>
          <w:sz w:val="18"/>
        </w:rPr>
        <w:t>were</w:t>
      </w:r>
      <w:r>
        <w:rPr>
          <w:spacing w:val="-2"/>
          <w:sz w:val="18"/>
        </w:rPr>
        <w:t> </w:t>
      </w:r>
      <w:r>
        <w:rPr>
          <w:sz w:val="18"/>
        </w:rPr>
        <w:t>you</w:t>
      </w:r>
      <w:r>
        <w:rPr>
          <w:spacing w:val="-1"/>
          <w:sz w:val="18"/>
        </w:rPr>
        <w:t> </w:t>
      </w:r>
      <w:r>
        <w:rPr>
          <w:spacing w:val="-2"/>
          <w:sz w:val="18"/>
        </w:rPr>
        <w:t>born?</w:t>
      </w:r>
    </w:p>
    <w:p>
      <w:pPr>
        <w:tabs>
          <w:tab w:pos="4110" w:val="left" w:leader="none"/>
          <w:tab w:pos="4921" w:val="right" w:leader="none"/>
        </w:tabs>
        <w:spacing w:before="81"/>
        <w:ind w:left="527" w:right="0" w:firstLine="0"/>
        <w:jc w:val="left"/>
        <w:rPr>
          <w:sz w:val="18"/>
        </w:rPr>
      </w:pPr>
      <w:r>
        <w:rPr>
          <w:sz w:val="18"/>
        </w:rPr>
        <w:t>United </w:t>
      </w:r>
      <w:r>
        <w:rPr>
          <w:spacing w:val="-2"/>
          <w:sz w:val="18"/>
        </w:rPr>
        <w:t>States</w:t>
      </w:r>
      <w:r>
        <w:rPr>
          <w:sz w:val="18"/>
        </w:rPr>
        <w:tab/>
      </w:r>
      <w:r>
        <w:rPr>
          <w:spacing w:val="-10"/>
          <w:sz w:val="18"/>
        </w:rPr>
        <w:t>8</w:t>
      </w:r>
      <w:r>
        <w:rPr>
          <w:sz w:val="18"/>
        </w:rPr>
        <w:tab/>
      </w:r>
      <w:r>
        <w:rPr>
          <w:spacing w:val="-5"/>
          <w:sz w:val="18"/>
        </w:rPr>
        <w:t>4.1</w:t>
      </w:r>
    </w:p>
    <w:p>
      <w:pPr>
        <w:tabs>
          <w:tab w:pos="3931" w:val="left" w:leader="none"/>
          <w:tab w:pos="4922" w:val="right" w:leader="none"/>
        </w:tabs>
        <w:spacing w:before="81"/>
        <w:ind w:left="527" w:right="0" w:firstLine="0"/>
        <w:jc w:val="left"/>
        <w:rPr>
          <w:sz w:val="18"/>
        </w:rPr>
      </w:pPr>
      <w:r>
        <w:rPr>
          <w:sz w:val="18"/>
        </w:rPr>
        <w:t>Outside of United </w:t>
      </w:r>
      <w:r>
        <w:rPr>
          <w:spacing w:val="-2"/>
          <w:sz w:val="18"/>
        </w:rPr>
        <w:t>States</w:t>
      </w:r>
      <w:r>
        <w:rPr>
          <w:sz w:val="18"/>
        </w:rPr>
        <w:tab/>
      </w:r>
      <w:r>
        <w:rPr>
          <w:spacing w:val="-5"/>
          <w:sz w:val="18"/>
        </w:rPr>
        <w:t>188</w:t>
      </w:r>
      <w:r>
        <w:rPr>
          <w:sz w:val="18"/>
        </w:rPr>
        <w:tab/>
      </w:r>
      <w:r>
        <w:rPr>
          <w:spacing w:val="-4"/>
          <w:sz w:val="18"/>
        </w:rPr>
        <w:t>95.9</w:t>
      </w:r>
    </w:p>
    <w:p>
      <w:pPr>
        <w:spacing w:before="81"/>
        <w:ind w:left="347" w:right="1273" w:firstLine="0"/>
        <w:jc w:val="left"/>
        <w:rPr>
          <w:sz w:val="18"/>
        </w:rPr>
      </w:pPr>
      <w:r>
        <w:rPr>
          <w:sz w:val="18"/>
        </w:rPr>
        <w:t>Have</w:t>
      </w:r>
      <w:r>
        <w:rPr>
          <w:spacing w:val="-7"/>
          <w:sz w:val="18"/>
        </w:rPr>
        <w:t> </w:t>
      </w:r>
      <w:r>
        <w:rPr>
          <w:sz w:val="18"/>
        </w:rPr>
        <w:t>you</w:t>
      </w:r>
      <w:r>
        <w:rPr>
          <w:spacing w:val="-7"/>
          <w:sz w:val="18"/>
        </w:rPr>
        <w:t> </w:t>
      </w:r>
      <w:r>
        <w:rPr>
          <w:sz w:val="18"/>
        </w:rPr>
        <w:t>ever</w:t>
      </w:r>
      <w:r>
        <w:rPr>
          <w:spacing w:val="-7"/>
          <w:sz w:val="18"/>
        </w:rPr>
        <w:t> </w:t>
      </w:r>
      <w:r>
        <w:rPr>
          <w:sz w:val="18"/>
        </w:rPr>
        <w:t>heard</w:t>
      </w:r>
      <w:r>
        <w:rPr>
          <w:spacing w:val="-6"/>
          <w:sz w:val="18"/>
        </w:rPr>
        <w:t> </w:t>
      </w:r>
      <w:r>
        <w:rPr>
          <w:sz w:val="18"/>
        </w:rPr>
        <w:t>of</w:t>
      </w:r>
      <w:r>
        <w:rPr>
          <w:spacing w:val="-7"/>
          <w:sz w:val="18"/>
        </w:rPr>
        <w:t> </w:t>
      </w:r>
      <w:r>
        <w:rPr>
          <w:sz w:val="18"/>
        </w:rPr>
        <w:t>a</w:t>
      </w:r>
      <w:r>
        <w:rPr>
          <w:spacing w:val="-6"/>
          <w:sz w:val="18"/>
        </w:rPr>
        <w:t> </w:t>
      </w:r>
      <w:r>
        <w:rPr>
          <w:sz w:val="18"/>
        </w:rPr>
        <w:t>Sigmoidoscopy, Colonoscopy, or FOBT?</w:t>
      </w:r>
    </w:p>
    <w:p>
      <w:pPr>
        <w:tabs>
          <w:tab w:pos="3930" w:val="left" w:leader="none"/>
          <w:tab w:pos="4605" w:val="left" w:leader="none"/>
        </w:tabs>
        <w:spacing w:before="0"/>
        <w:ind w:left="527" w:right="0" w:firstLine="0"/>
        <w:jc w:val="left"/>
        <w:rPr>
          <w:sz w:val="18"/>
        </w:rPr>
      </w:pPr>
      <w:r>
        <w:rPr>
          <w:spacing w:val="-5"/>
          <w:sz w:val="18"/>
        </w:rPr>
        <w:t>Yes</w:t>
      </w:r>
      <w:r>
        <w:rPr>
          <w:sz w:val="18"/>
        </w:rPr>
        <w:tab/>
      </w:r>
      <w:r>
        <w:rPr>
          <w:spacing w:val="-5"/>
          <w:sz w:val="18"/>
        </w:rPr>
        <w:t>166</w:t>
      </w:r>
      <w:r>
        <w:rPr>
          <w:sz w:val="18"/>
        </w:rPr>
        <w:tab/>
      </w:r>
      <w:r>
        <w:rPr>
          <w:spacing w:val="-4"/>
          <w:sz w:val="18"/>
        </w:rPr>
        <w:t>86.0</w:t>
      </w:r>
    </w:p>
    <w:p>
      <w:pPr>
        <w:tabs>
          <w:tab w:pos="4020" w:val="left" w:leader="none"/>
          <w:tab w:pos="4605" w:val="left" w:leader="none"/>
        </w:tabs>
        <w:spacing w:before="81"/>
        <w:ind w:left="527" w:right="0" w:firstLine="0"/>
        <w:jc w:val="left"/>
        <w:rPr>
          <w:sz w:val="18"/>
        </w:rPr>
      </w:pPr>
      <w:r>
        <w:rPr>
          <w:spacing w:val="-5"/>
          <w:sz w:val="18"/>
        </w:rPr>
        <w:t>No</w:t>
      </w:r>
      <w:r>
        <w:rPr>
          <w:sz w:val="18"/>
        </w:rPr>
        <w:tab/>
      </w:r>
      <w:r>
        <w:rPr>
          <w:spacing w:val="-5"/>
          <w:sz w:val="18"/>
        </w:rPr>
        <w:t>27</w:t>
      </w:r>
      <w:r>
        <w:rPr>
          <w:sz w:val="18"/>
        </w:rPr>
        <w:tab/>
      </w:r>
      <w:r>
        <w:rPr>
          <w:spacing w:val="-4"/>
          <w:sz w:val="18"/>
        </w:rPr>
        <w:t>14.0</w:t>
      </w:r>
    </w:p>
    <w:p>
      <w:pPr>
        <w:tabs>
          <w:tab w:pos="685" w:val="left" w:leader="none"/>
        </w:tabs>
        <w:spacing w:line="162" w:lineRule="exact" w:before="369"/>
        <w:ind w:left="0" w:right="344" w:firstLine="0"/>
        <w:jc w:val="right"/>
        <w:rPr>
          <w:sz w:val="18"/>
        </w:rPr>
      </w:pPr>
      <w:r>
        <w:rPr>
          <w:spacing w:val="-10"/>
          <w:sz w:val="18"/>
        </w:rPr>
        <w:t>M</w:t>
      </w:r>
      <w:r>
        <w:rPr>
          <w:sz w:val="18"/>
        </w:rPr>
        <w:tab/>
      </w:r>
      <w:r>
        <w:rPr>
          <w:spacing w:val="-5"/>
          <w:sz w:val="18"/>
        </w:rPr>
        <w:t>SD</w:t>
      </w:r>
    </w:p>
    <w:p>
      <w:pPr>
        <w:spacing w:after="0" w:line="162" w:lineRule="exact"/>
        <w:jc w:val="right"/>
        <w:rPr>
          <w:sz w:val="18"/>
        </w:rPr>
        <w:sectPr>
          <w:pgSz w:w="12240" w:h="15840"/>
          <w:pgMar w:header="723" w:footer="1065" w:top="1340" w:bottom="1260" w:left="1200" w:right="980"/>
          <w:cols w:num="2" w:equalWidth="0">
            <w:col w:w="4601" w:space="331"/>
            <w:col w:w="5128"/>
          </w:cols>
        </w:sectPr>
      </w:pPr>
    </w:p>
    <w:p>
      <w:pPr>
        <w:pStyle w:val="BodyText"/>
        <w:ind w:left="240" w:right="38"/>
        <w:jc w:val="both"/>
      </w:pPr>
      <w:r>
        <w:rPr/>
        <w:t>variables were knowledge and beliefs of CRC and screening. There were six knowledge variables: two regarding knowledge of CRC</w:t>
      </w:r>
      <w:r>
        <w:rPr>
          <w:spacing w:val="40"/>
        </w:rPr>
        <w:t> </w:t>
      </w:r>
      <w:r>
        <w:rPr/>
        <w:t>(e.g. having a family history of colorectal cancer increases your chance of developing the</w:t>
      </w:r>
      <w:r>
        <w:rPr>
          <w:spacing w:val="40"/>
        </w:rPr>
        <w:t> </w:t>
      </w:r>
      <w:r>
        <w:rPr/>
        <w:t>disease), and four on CRC screening </w:t>
      </w:r>
      <w:r>
        <w:rPr/>
        <w:t>(e.g. colorectal cancer screening should start at which age?). In addition, there were nine belief variables:</w:t>
      </w:r>
      <w:r>
        <w:rPr>
          <w:spacing w:val="51"/>
        </w:rPr>
        <w:t> </w:t>
      </w:r>
      <w:r>
        <w:rPr/>
        <w:t>five</w:t>
      </w:r>
      <w:r>
        <w:rPr>
          <w:spacing w:val="52"/>
        </w:rPr>
        <w:t> </w:t>
      </w:r>
      <w:r>
        <w:rPr/>
        <w:t>regarding</w:t>
      </w:r>
      <w:r>
        <w:rPr>
          <w:spacing w:val="52"/>
        </w:rPr>
        <w:t> </w:t>
      </w:r>
      <w:r>
        <w:rPr/>
        <w:t>beliefs</w:t>
      </w:r>
      <w:r>
        <w:rPr>
          <w:spacing w:val="52"/>
        </w:rPr>
        <w:t> </w:t>
      </w:r>
      <w:r>
        <w:rPr/>
        <w:t>of</w:t>
      </w:r>
      <w:r>
        <w:rPr>
          <w:spacing w:val="51"/>
        </w:rPr>
        <w:t> </w:t>
      </w:r>
      <w:r>
        <w:rPr/>
        <w:t>CRC</w:t>
      </w:r>
      <w:r>
        <w:rPr>
          <w:spacing w:val="52"/>
        </w:rPr>
        <w:t> </w:t>
      </w:r>
      <w:r>
        <w:rPr>
          <w:spacing w:val="-2"/>
        </w:rPr>
        <w:t>(e.g.</w:t>
      </w:r>
    </w:p>
    <w:p>
      <w:pPr>
        <w:pStyle w:val="BodyText"/>
        <w:spacing w:line="250" w:lineRule="atLeast"/>
        <w:ind w:left="240" w:right="39"/>
        <w:jc w:val="both"/>
      </w:pPr>
      <w:r>
        <w:rPr/>
        <w:t>colorectal cancer is not a problem for Pacific Islanders), and four</w:t>
      </w:r>
      <w:r>
        <w:rPr>
          <w:spacing w:val="-1"/>
        </w:rPr>
        <w:t> </w:t>
      </w:r>
      <w:r>
        <w:rPr/>
        <w:t>on</w:t>
      </w:r>
      <w:r>
        <w:rPr>
          <w:spacing w:val="1"/>
        </w:rPr>
        <w:t> </w:t>
      </w:r>
      <w:r>
        <w:rPr/>
        <w:t>CRC screening (e.g. I</w:t>
      </w:r>
      <w:r>
        <w:rPr>
          <w:spacing w:val="1"/>
        </w:rPr>
        <w:t> </w:t>
      </w:r>
      <w:r>
        <w:rPr>
          <w:spacing w:val="-5"/>
        </w:rPr>
        <w:t>am</w:t>
      </w:r>
    </w:p>
    <w:p>
      <w:pPr>
        <w:spacing w:before="126"/>
        <w:ind w:left="240" w:right="38" w:firstLine="0"/>
        <w:jc w:val="left"/>
        <w:rPr>
          <w:sz w:val="18"/>
        </w:rPr>
      </w:pPr>
      <w:r>
        <w:rPr/>
        <w:br w:type="column"/>
      </w:r>
      <w:r>
        <w:rPr>
          <w:sz w:val="18"/>
        </w:rPr>
        <w:t>During</w:t>
      </w:r>
      <w:r>
        <w:rPr>
          <w:spacing w:val="-7"/>
          <w:sz w:val="18"/>
        </w:rPr>
        <w:t> </w:t>
      </w:r>
      <w:r>
        <w:rPr>
          <w:sz w:val="18"/>
        </w:rPr>
        <w:t>the</w:t>
      </w:r>
      <w:r>
        <w:rPr>
          <w:spacing w:val="-7"/>
          <w:sz w:val="18"/>
        </w:rPr>
        <w:t> </w:t>
      </w:r>
      <w:r>
        <w:rPr>
          <w:sz w:val="18"/>
        </w:rPr>
        <w:t>past</w:t>
      </w:r>
      <w:r>
        <w:rPr>
          <w:spacing w:val="-8"/>
          <w:sz w:val="18"/>
        </w:rPr>
        <w:t> </w:t>
      </w:r>
      <w:r>
        <w:rPr>
          <w:sz w:val="18"/>
        </w:rPr>
        <w:t>12</w:t>
      </w:r>
      <w:r>
        <w:rPr>
          <w:spacing w:val="-7"/>
          <w:sz w:val="18"/>
        </w:rPr>
        <w:t> </w:t>
      </w:r>
      <w:r>
        <w:rPr>
          <w:sz w:val="18"/>
        </w:rPr>
        <w:t>months,</w:t>
      </w:r>
      <w:r>
        <w:rPr>
          <w:spacing w:val="-7"/>
          <w:sz w:val="18"/>
        </w:rPr>
        <w:t> </w:t>
      </w:r>
      <w:r>
        <w:rPr>
          <w:sz w:val="18"/>
        </w:rPr>
        <w:t>how</w:t>
      </w:r>
      <w:r>
        <w:rPr>
          <w:spacing w:val="-8"/>
          <w:sz w:val="18"/>
        </w:rPr>
        <w:t> </w:t>
      </w:r>
      <w:r>
        <w:rPr>
          <w:sz w:val="18"/>
        </w:rPr>
        <w:t>many times have you seen a doctor?</w:t>
      </w: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spacing w:before="198"/>
        <w:rPr>
          <w:sz w:val="18"/>
        </w:rPr>
      </w:pPr>
    </w:p>
    <w:p>
      <w:pPr>
        <w:spacing w:before="1"/>
        <w:ind w:left="240" w:right="0" w:firstLine="0"/>
        <w:jc w:val="left"/>
        <w:rPr>
          <w:sz w:val="18"/>
        </w:rPr>
      </w:pPr>
      <w:r>
        <w:rPr/>
        <mc:AlternateContent>
          <mc:Choice Requires="wps">
            <w:drawing>
              <wp:anchor distT="0" distB="0" distL="0" distR="0" allowOverlap="1" layoutInCell="1" locked="0" behindDoc="0" simplePos="0" relativeHeight="15729664">
                <wp:simplePos x="0" y="0"/>
                <wp:positionH relativeFrom="page">
                  <wp:posOffset>4044950</wp:posOffset>
                </wp:positionH>
                <wp:positionV relativeFrom="paragraph">
                  <wp:posOffset>-726140</wp:posOffset>
                </wp:positionV>
                <wp:extent cx="3043555" cy="674370"/>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3043555" cy="674370"/>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163"/>
                              <w:gridCol w:w="896"/>
                              <w:gridCol w:w="615"/>
                            </w:tblGrid>
                            <w:tr>
                              <w:trPr>
                                <w:trHeight w:val="199" w:hRule="atLeast"/>
                              </w:trPr>
                              <w:tc>
                                <w:tcPr>
                                  <w:tcW w:w="4059" w:type="dxa"/>
                                  <w:gridSpan w:val="2"/>
                                </w:tcPr>
                                <w:p>
                                  <w:pPr>
                                    <w:pStyle w:val="TableParagraph"/>
                                    <w:spacing w:line="179" w:lineRule="exact"/>
                                    <w:ind w:right="362"/>
                                    <w:jc w:val="right"/>
                                    <w:rPr>
                                      <w:sz w:val="18"/>
                                    </w:rPr>
                                  </w:pPr>
                                  <w:r>
                                    <w:rPr>
                                      <w:spacing w:val="-10"/>
                                      <w:sz w:val="18"/>
                                    </w:rPr>
                                    <w:t>n</w:t>
                                  </w:r>
                                </w:p>
                              </w:tc>
                              <w:tc>
                                <w:tcPr>
                                  <w:tcW w:w="615" w:type="dxa"/>
                                </w:tcPr>
                                <w:p>
                                  <w:pPr>
                                    <w:pStyle w:val="TableParagraph"/>
                                    <w:spacing w:line="179" w:lineRule="exact"/>
                                    <w:ind w:left="9" w:right="4"/>
                                    <w:jc w:val="center"/>
                                    <w:rPr>
                                      <w:sz w:val="18"/>
                                    </w:rPr>
                                  </w:pPr>
                                  <w:r>
                                    <w:rPr>
                                      <w:spacing w:val="-10"/>
                                      <w:sz w:val="18"/>
                                    </w:rPr>
                                    <w:t>%</w:t>
                                  </w:r>
                                </w:p>
                              </w:tc>
                            </w:tr>
                            <w:tr>
                              <w:trPr>
                                <w:trHeight w:val="332" w:hRule="atLeast"/>
                              </w:trPr>
                              <w:tc>
                                <w:tcPr>
                                  <w:tcW w:w="3163" w:type="dxa"/>
                                </w:tcPr>
                                <w:p>
                                  <w:pPr>
                                    <w:pStyle w:val="TableParagraph"/>
                                    <w:spacing w:before="81"/>
                                    <w:ind w:left="50"/>
                                    <w:rPr>
                                      <w:sz w:val="18"/>
                                    </w:rPr>
                                  </w:pPr>
                                  <w:r>
                                    <w:rPr>
                                      <w:sz w:val="18"/>
                                    </w:rPr>
                                    <w:t>Pre-test</w:t>
                                  </w:r>
                                  <w:r>
                                    <w:rPr>
                                      <w:spacing w:val="-3"/>
                                      <w:sz w:val="18"/>
                                    </w:rPr>
                                    <w:t> </w:t>
                                  </w:r>
                                  <w:r>
                                    <w:rPr>
                                      <w:sz w:val="18"/>
                                    </w:rPr>
                                    <w:t>to post-</w:t>
                                  </w:r>
                                  <w:r>
                                    <w:rPr>
                                      <w:spacing w:val="-4"/>
                                      <w:sz w:val="18"/>
                                    </w:rPr>
                                    <w:t>test</w:t>
                                  </w:r>
                                </w:p>
                              </w:tc>
                              <w:tc>
                                <w:tcPr>
                                  <w:tcW w:w="896" w:type="dxa"/>
                                </w:tcPr>
                                <w:p>
                                  <w:pPr>
                                    <w:pStyle w:val="TableParagraph"/>
                                    <w:rPr>
                                      <w:sz w:val="20"/>
                                    </w:rPr>
                                  </w:pPr>
                                </w:p>
                              </w:tc>
                              <w:tc>
                                <w:tcPr>
                                  <w:tcW w:w="615" w:type="dxa"/>
                                </w:tcPr>
                                <w:p>
                                  <w:pPr>
                                    <w:pStyle w:val="TableParagraph"/>
                                    <w:rPr>
                                      <w:sz w:val="20"/>
                                    </w:rPr>
                                  </w:pPr>
                                </w:p>
                              </w:tc>
                            </w:tr>
                            <w:tr>
                              <w:trPr>
                                <w:trHeight w:val="288" w:hRule="atLeast"/>
                              </w:trPr>
                              <w:tc>
                                <w:tcPr>
                                  <w:tcW w:w="3163" w:type="dxa"/>
                                </w:tcPr>
                                <w:p>
                                  <w:pPr>
                                    <w:pStyle w:val="TableParagraph"/>
                                    <w:spacing w:before="36"/>
                                    <w:ind w:left="230"/>
                                    <w:rPr>
                                      <w:sz w:val="18"/>
                                    </w:rPr>
                                  </w:pPr>
                                  <w:r>
                                    <w:rPr>
                                      <w:sz w:val="18"/>
                                    </w:rPr>
                                    <w:t>Positive</w:t>
                                  </w:r>
                                  <w:r>
                                    <w:rPr>
                                      <w:spacing w:val="-2"/>
                                      <w:sz w:val="18"/>
                                    </w:rPr>
                                    <w:t> </w:t>
                                  </w:r>
                                  <w:r>
                                    <w:rPr>
                                      <w:sz w:val="18"/>
                                    </w:rPr>
                                    <w:t>change</w:t>
                                  </w:r>
                                  <w:r>
                                    <w:rPr>
                                      <w:spacing w:val="-1"/>
                                      <w:sz w:val="18"/>
                                    </w:rPr>
                                    <w:t> </w:t>
                                  </w:r>
                                  <w:r>
                                    <w:rPr>
                                      <w:sz w:val="18"/>
                                    </w:rPr>
                                    <w:t>in</w:t>
                                  </w:r>
                                  <w:r>
                                    <w:rPr>
                                      <w:spacing w:val="-1"/>
                                      <w:sz w:val="18"/>
                                    </w:rPr>
                                    <w:t> </w:t>
                                  </w:r>
                                  <w:r>
                                    <w:rPr>
                                      <w:sz w:val="18"/>
                                    </w:rPr>
                                    <w:t>knowledge </w:t>
                                  </w:r>
                                  <w:r>
                                    <w:rPr>
                                      <w:spacing w:val="-2"/>
                                      <w:sz w:val="18"/>
                                    </w:rPr>
                                    <w:t>score</w:t>
                                  </w:r>
                                </w:p>
                              </w:tc>
                              <w:tc>
                                <w:tcPr>
                                  <w:tcW w:w="896" w:type="dxa"/>
                                </w:tcPr>
                                <w:p>
                                  <w:pPr>
                                    <w:pStyle w:val="TableParagraph"/>
                                    <w:spacing w:before="36"/>
                                    <w:ind w:left="78"/>
                                    <w:jc w:val="center"/>
                                    <w:rPr>
                                      <w:sz w:val="18"/>
                                    </w:rPr>
                                  </w:pPr>
                                  <w:r>
                                    <w:rPr>
                                      <w:spacing w:val="-5"/>
                                      <w:sz w:val="18"/>
                                    </w:rPr>
                                    <w:t>139</w:t>
                                  </w:r>
                                </w:p>
                              </w:tc>
                              <w:tc>
                                <w:tcPr>
                                  <w:tcW w:w="615" w:type="dxa"/>
                                </w:tcPr>
                                <w:p>
                                  <w:pPr>
                                    <w:pStyle w:val="TableParagraph"/>
                                    <w:spacing w:before="36"/>
                                    <w:ind w:left="9"/>
                                    <w:jc w:val="center"/>
                                    <w:rPr>
                                      <w:sz w:val="18"/>
                                    </w:rPr>
                                  </w:pPr>
                                  <w:r>
                                    <w:rPr>
                                      <w:spacing w:val="-4"/>
                                      <w:sz w:val="18"/>
                                    </w:rPr>
                                    <w:t>70.9</w:t>
                                  </w:r>
                                </w:p>
                              </w:tc>
                            </w:tr>
                            <w:tr>
                              <w:trPr>
                                <w:trHeight w:val="243" w:hRule="atLeast"/>
                              </w:trPr>
                              <w:tc>
                                <w:tcPr>
                                  <w:tcW w:w="3163" w:type="dxa"/>
                                </w:tcPr>
                                <w:p>
                                  <w:pPr>
                                    <w:pStyle w:val="TableParagraph"/>
                                    <w:spacing w:line="187" w:lineRule="exact" w:before="36"/>
                                    <w:ind w:left="230"/>
                                    <w:rPr>
                                      <w:sz w:val="18"/>
                                    </w:rPr>
                                  </w:pPr>
                                  <w:r>
                                    <w:rPr>
                                      <w:sz w:val="18"/>
                                    </w:rPr>
                                    <w:t>Positive</w:t>
                                  </w:r>
                                  <w:r>
                                    <w:rPr>
                                      <w:spacing w:val="-1"/>
                                      <w:sz w:val="18"/>
                                    </w:rPr>
                                    <w:t> </w:t>
                                  </w:r>
                                  <w:r>
                                    <w:rPr>
                                      <w:sz w:val="18"/>
                                    </w:rPr>
                                    <w:t>change</w:t>
                                  </w:r>
                                  <w:r>
                                    <w:rPr>
                                      <w:spacing w:val="-1"/>
                                      <w:sz w:val="18"/>
                                    </w:rPr>
                                    <w:t> </w:t>
                                  </w:r>
                                  <w:r>
                                    <w:rPr>
                                      <w:sz w:val="18"/>
                                    </w:rPr>
                                    <w:t>in belief</w:t>
                                  </w:r>
                                  <w:r>
                                    <w:rPr>
                                      <w:spacing w:val="-1"/>
                                      <w:sz w:val="18"/>
                                    </w:rPr>
                                    <w:t> </w:t>
                                  </w:r>
                                  <w:r>
                                    <w:rPr>
                                      <w:spacing w:val="-2"/>
                                      <w:sz w:val="18"/>
                                    </w:rPr>
                                    <w:t>score</w:t>
                                  </w:r>
                                </w:p>
                              </w:tc>
                              <w:tc>
                                <w:tcPr>
                                  <w:tcW w:w="896" w:type="dxa"/>
                                </w:tcPr>
                                <w:p>
                                  <w:pPr>
                                    <w:pStyle w:val="TableParagraph"/>
                                    <w:spacing w:line="187" w:lineRule="exact" w:before="36"/>
                                    <w:ind w:left="78" w:right="2"/>
                                    <w:jc w:val="center"/>
                                    <w:rPr>
                                      <w:sz w:val="18"/>
                                    </w:rPr>
                                  </w:pPr>
                                  <w:r>
                                    <w:rPr>
                                      <w:spacing w:val="-5"/>
                                      <w:sz w:val="18"/>
                                    </w:rPr>
                                    <w:t>184</w:t>
                                  </w:r>
                                </w:p>
                              </w:tc>
                              <w:tc>
                                <w:tcPr>
                                  <w:tcW w:w="615" w:type="dxa"/>
                                </w:tcPr>
                                <w:p>
                                  <w:pPr>
                                    <w:pStyle w:val="TableParagraph"/>
                                    <w:spacing w:line="187" w:lineRule="exact" w:before="36"/>
                                    <w:ind w:left="9" w:right="1"/>
                                    <w:jc w:val="center"/>
                                    <w:rPr>
                                      <w:sz w:val="18"/>
                                    </w:rPr>
                                  </w:pPr>
                                  <w:r>
                                    <w:rPr>
                                      <w:spacing w:val="-4"/>
                                      <w:sz w:val="18"/>
                                    </w:rPr>
                                    <w:t>93.9</w:t>
                                  </w:r>
                                </w:p>
                              </w:tc>
                            </w:tr>
                          </w:tbl>
                          <w:p>
                            <w:pPr>
                              <w:pStyle w:val="BodyText"/>
                            </w:pPr>
                          </w:p>
                        </w:txbxContent>
                      </wps:txbx>
                      <wps:bodyPr wrap="square" lIns="0" tIns="0" rIns="0" bIns="0" rtlCol="0">
                        <a:noAutofit/>
                      </wps:bodyPr>
                    </wps:wsp>
                  </a:graphicData>
                </a:graphic>
              </wp:anchor>
            </w:drawing>
          </mc:Choice>
          <mc:Fallback>
            <w:pict>
              <v:shape style="position:absolute;margin-left:318.5pt;margin-top:-57.176422pt;width:239.65pt;height:53.1pt;mso-position-horizontal-relative:page;mso-position-vertical-relative:paragraph;z-index:15729664" type="#_x0000_t202" id="docshape4"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163"/>
                        <w:gridCol w:w="896"/>
                        <w:gridCol w:w="615"/>
                      </w:tblGrid>
                      <w:tr>
                        <w:trPr>
                          <w:trHeight w:val="199" w:hRule="atLeast"/>
                        </w:trPr>
                        <w:tc>
                          <w:tcPr>
                            <w:tcW w:w="4059" w:type="dxa"/>
                            <w:gridSpan w:val="2"/>
                          </w:tcPr>
                          <w:p>
                            <w:pPr>
                              <w:pStyle w:val="TableParagraph"/>
                              <w:spacing w:line="179" w:lineRule="exact"/>
                              <w:ind w:right="362"/>
                              <w:jc w:val="right"/>
                              <w:rPr>
                                <w:sz w:val="18"/>
                              </w:rPr>
                            </w:pPr>
                            <w:r>
                              <w:rPr>
                                <w:spacing w:val="-10"/>
                                <w:sz w:val="18"/>
                              </w:rPr>
                              <w:t>n</w:t>
                            </w:r>
                          </w:p>
                        </w:tc>
                        <w:tc>
                          <w:tcPr>
                            <w:tcW w:w="615" w:type="dxa"/>
                          </w:tcPr>
                          <w:p>
                            <w:pPr>
                              <w:pStyle w:val="TableParagraph"/>
                              <w:spacing w:line="179" w:lineRule="exact"/>
                              <w:ind w:left="9" w:right="4"/>
                              <w:jc w:val="center"/>
                              <w:rPr>
                                <w:sz w:val="18"/>
                              </w:rPr>
                            </w:pPr>
                            <w:r>
                              <w:rPr>
                                <w:spacing w:val="-10"/>
                                <w:sz w:val="18"/>
                              </w:rPr>
                              <w:t>%</w:t>
                            </w:r>
                          </w:p>
                        </w:tc>
                      </w:tr>
                      <w:tr>
                        <w:trPr>
                          <w:trHeight w:val="332" w:hRule="atLeast"/>
                        </w:trPr>
                        <w:tc>
                          <w:tcPr>
                            <w:tcW w:w="3163" w:type="dxa"/>
                          </w:tcPr>
                          <w:p>
                            <w:pPr>
                              <w:pStyle w:val="TableParagraph"/>
                              <w:spacing w:before="81"/>
                              <w:ind w:left="50"/>
                              <w:rPr>
                                <w:sz w:val="18"/>
                              </w:rPr>
                            </w:pPr>
                            <w:r>
                              <w:rPr>
                                <w:sz w:val="18"/>
                              </w:rPr>
                              <w:t>Pre-test</w:t>
                            </w:r>
                            <w:r>
                              <w:rPr>
                                <w:spacing w:val="-3"/>
                                <w:sz w:val="18"/>
                              </w:rPr>
                              <w:t> </w:t>
                            </w:r>
                            <w:r>
                              <w:rPr>
                                <w:sz w:val="18"/>
                              </w:rPr>
                              <w:t>to post-</w:t>
                            </w:r>
                            <w:r>
                              <w:rPr>
                                <w:spacing w:val="-4"/>
                                <w:sz w:val="18"/>
                              </w:rPr>
                              <w:t>test</w:t>
                            </w:r>
                          </w:p>
                        </w:tc>
                        <w:tc>
                          <w:tcPr>
                            <w:tcW w:w="896" w:type="dxa"/>
                          </w:tcPr>
                          <w:p>
                            <w:pPr>
                              <w:pStyle w:val="TableParagraph"/>
                              <w:rPr>
                                <w:sz w:val="20"/>
                              </w:rPr>
                            </w:pPr>
                          </w:p>
                        </w:tc>
                        <w:tc>
                          <w:tcPr>
                            <w:tcW w:w="615" w:type="dxa"/>
                          </w:tcPr>
                          <w:p>
                            <w:pPr>
                              <w:pStyle w:val="TableParagraph"/>
                              <w:rPr>
                                <w:sz w:val="20"/>
                              </w:rPr>
                            </w:pPr>
                          </w:p>
                        </w:tc>
                      </w:tr>
                      <w:tr>
                        <w:trPr>
                          <w:trHeight w:val="288" w:hRule="atLeast"/>
                        </w:trPr>
                        <w:tc>
                          <w:tcPr>
                            <w:tcW w:w="3163" w:type="dxa"/>
                          </w:tcPr>
                          <w:p>
                            <w:pPr>
                              <w:pStyle w:val="TableParagraph"/>
                              <w:spacing w:before="36"/>
                              <w:ind w:left="230"/>
                              <w:rPr>
                                <w:sz w:val="18"/>
                              </w:rPr>
                            </w:pPr>
                            <w:r>
                              <w:rPr>
                                <w:sz w:val="18"/>
                              </w:rPr>
                              <w:t>Positive</w:t>
                            </w:r>
                            <w:r>
                              <w:rPr>
                                <w:spacing w:val="-2"/>
                                <w:sz w:val="18"/>
                              </w:rPr>
                              <w:t> </w:t>
                            </w:r>
                            <w:r>
                              <w:rPr>
                                <w:sz w:val="18"/>
                              </w:rPr>
                              <w:t>change</w:t>
                            </w:r>
                            <w:r>
                              <w:rPr>
                                <w:spacing w:val="-1"/>
                                <w:sz w:val="18"/>
                              </w:rPr>
                              <w:t> </w:t>
                            </w:r>
                            <w:r>
                              <w:rPr>
                                <w:sz w:val="18"/>
                              </w:rPr>
                              <w:t>in</w:t>
                            </w:r>
                            <w:r>
                              <w:rPr>
                                <w:spacing w:val="-1"/>
                                <w:sz w:val="18"/>
                              </w:rPr>
                              <w:t> </w:t>
                            </w:r>
                            <w:r>
                              <w:rPr>
                                <w:sz w:val="18"/>
                              </w:rPr>
                              <w:t>knowledge </w:t>
                            </w:r>
                            <w:r>
                              <w:rPr>
                                <w:spacing w:val="-2"/>
                                <w:sz w:val="18"/>
                              </w:rPr>
                              <w:t>score</w:t>
                            </w:r>
                          </w:p>
                        </w:tc>
                        <w:tc>
                          <w:tcPr>
                            <w:tcW w:w="896" w:type="dxa"/>
                          </w:tcPr>
                          <w:p>
                            <w:pPr>
                              <w:pStyle w:val="TableParagraph"/>
                              <w:spacing w:before="36"/>
                              <w:ind w:left="78"/>
                              <w:jc w:val="center"/>
                              <w:rPr>
                                <w:sz w:val="18"/>
                              </w:rPr>
                            </w:pPr>
                            <w:r>
                              <w:rPr>
                                <w:spacing w:val="-5"/>
                                <w:sz w:val="18"/>
                              </w:rPr>
                              <w:t>139</w:t>
                            </w:r>
                          </w:p>
                        </w:tc>
                        <w:tc>
                          <w:tcPr>
                            <w:tcW w:w="615" w:type="dxa"/>
                          </w:tcPr>
                          <w:p>
                            <w:pPr>
                              <w:pStyle w:val="TableParagraph"/>
                              <w:spacing w:before="36"/>
                              <w:ind w:left="9"/>
                              <w:jc w:val="center"/>
                              <w:rPr>
                                <w:sz w:val="18"/>
                              </w:rPr>
                            </w:pPr>
                            <w:r>
                              <w:rPr>
                                <w:spacing w:val="-4"/>
                                <w:sz w:val="18"/>
                              </w:rPr>
                              <w:t>70.9</w:t>
                            </w:r>
                          </w:p>
                        </w:tc>
                      </w:tr>
                      <w:tr>
                        <w:trPr>
                          <w:trHeight w:val="243" w:hRule="atLeast"/>
                        </w:trPr>
                        <w:tc>
                          <w:tcPr>
                            <w:tcW w:w="3163" w:type="dxa"/>
                          </w:tcPr>
                          <w:p>
                            <w:pPr>
                              <w:pStyle w:val="TableParagraph"/>
                              <w:spacing w:line="187" w:lineRule="exact" w:before="36"/>
                              <w:ind w:left="230"/>
                              <w:rPr>
                                <w:sz w:val="18"/>
                              </w:rPr>
                            </w:pPr>
                            <w:r>
                              <w:rPr>
                                <w:sz w:val="18"/>
                              </w:rPr>
                              <w:t>Positive</w:t>
                            </w:r>
                            <w:r>
                              <w:rPr>
                                <w:spacing w:val="-1"/>
                                <w:sz w:val="18"/>
                              </w:rPr>
                              <w:t> </w:t>
                            </w:r>
                            <w:r>
                              <w:rPr>
                                <w:sz w:val="18"/>
                              </w:rPr>
                              <w:t>change</w:t>
                            </w:r>
                            <w:r>
                              <w:rPr>
                                <w:spacing w:val="-1"/>
                                <w:sz w:val="18"/>
                              </w:rPr>
                              <w:t> </w:t>
                            </w:r>
                            <w:r>
                              <w:rPr>
                                <w:sz w:val="18"/>
                              </w:rPr>
                              <w:t>in belief</w:t>
                            </w:r>
                            <w:r>
                              <w:rPr>
                                <w:spacing w:val="-1"/>
                                <w:sz w:val="18"/>
                              </w:rPr>
                              <w:t> </w:t>
                            </w:r>
                            <w:r>
                              <w:rPr>
                                <w:spacing w:val="-2"/>
                                <w:sz w:val="18"/>
                              </w:rPr>
                              <w:t>score</w:t>
                            </w:r>
                          </w:p>
                        </w:tc>
                        <w:tc>
                          <w:tcPr>
                            <w:tcW w:w="896" w:type="dxa"/>
                          </w:tcPr>
                          <w:p>
                            <w:pPr>
                              <w:pStyle w:val="TableParagraph"/>
                              <w:spacing w:line="187" w:lineRule="exact" w:before="36"/>
                              <w:ind w:left="78" w:right="2"/>
                              <w:jc w:val="center"/>
                              <w:rPr>
                                <w:sz w:val="18"/>
                              </w:rPr>
                            </w:pPr>
                            <w:r>
                              <w:rPr>
                                <w:spacing w:val="-5"/>
                                <w:sz w:val="18"/>
                              </w:rPr>
                              <w:t>184</w:t>
                            </w:r>
                          </w:p>
                        </w:tc>
                        <w:tc>
                          <w:tcPr>
                            <w:tcW w:w="615" w:type="dxa"/>
                          </w:tcPr>
                          <w:p>
                            <w:pPr>
                              <w:pStyle w:val="TableParagraph"/>
                              <w:spacing w:line="187" w:lineRule="exact" w:before="36"/>
                              <w:ind w:left="9" w:right="1"/>
                              <w:jc w:val="center"/>
                              <w:rPr>
                                <w:sz w:val="18"/>
                              </w:rPr>
                            </w:pPr>
                            <w:r>
                              <w:rPr>
                                <w:spacing w:val="-4"/>
                                <w:sz w:val="18"/>
                              </w:rPr>
                              <w:t>93.9</w:t>
                            </w:r>
                          </w:p>
                        </w:tc>
                      </w:tr>
                    </w:tbl>
                    <w:p>
                      <w:pPr>
                        <w:pStyle w:val="BodyText"/>
                      </w:pPr>
                    </w:p>
                  </w:txbxContent>
                </v:textbox>
                <w10:wrap type="none"/>
              </v:shape>
            </w:pict>
          </mc:Fallback>
        </mc:AlternateContent>
      </w:r>
      <w:r>
        <w:rPr>
          <w:sz w:val="18"/>
        </w:rPr>
        <w:t>Post-</w:t>
      </w:r>
      <w:r>
        <w:rPr>
          <w:spacing w:val="-4"/>
          <w:sz w:val="18"/>
        </w:rPr>
        <w:t>test</w:t>
      </w:r>
    </w:p>
    <w:p>
      <w:pPr>
        <w:spacing w:before="81"/>
        <w:ind w:left="240" w:right="0" w:firstLine="180"/>
        <w:jc w:val="left"/>
        <w:rPr>
          <w:sz w:val="18"/>
        </w:rPr>
      </w:pPr>
      <w:r>
        <w:rPr>
          <w:sz w:val="18"/>
        </w:rPr>
        <w:t>Plan</w:t>
      </w:r>
      <w:r>
        <w:rPr>
          <w:spacing w:val="-5"/>
          <w:sz w:val="18"/>
        </w:rPr>
        <w:t> </w:t>
      </w:r>
      <w:r>
        <w:rPr>
          <w:sz w:val="18"/>
        </w:rPr>
        <w:t>to</w:t>
      </w:r>
      <w:r>
        <w:rPr>
          <w:spacing w:val="-6"/>
          <w:sz w:val="18"/>
        </w:rPr>
        <w:t> </w:t>
      </w:r>
      <w:r>
        <w:rPr>
          <w:sz w:val="18"/>
        </w:rPr>
        <w:t>talk</w:t>
      </w:r>
      <w:r>
        <w:rPr>
          <w:spacing w:val="-6"/>
          <w:sz w:val="18"/>
        </w:rPr>
        <w:t> </w:t>
      </w:r>
      <w:r>
        <w:rPr>
          <w:sz w:val="18"/>
        </w:rPr>
        <w:t>to</w:t>
      </w:r>
      <w:r>
        <w:rPr>
          <w:spacing w:val="-6"/>
          <w:sz w:val="18"/>
        </w:rPr>
        <w:t> </w:t>
      </w:r>
      <w:r>
        <w:rPr>
          <w:sz w:val="18"/>
        </w:rPr>
        <w:t>a</w:t>
      </w:r>
      <w:r>
        <w:rPr>
          <w:spacing w:val="-6"/>
          <w:sz w:val="18"/>
        </w:rPr>
        <w:t> </w:t>
      </w:r>
      <w:r>
        <w:rPr>
          <w:sz w:val="18"/>
        </w:rPr>
        <w:t>doctor</w:t>
      </w:r>
      <w:r>
        <w:rPr>
          <w:spacing w:val="-6"/>
          <w:sz w:val="18"/>
        </w:rPr>
        <w:t> </w:t>
      </w:r>
      <w:r>
        <w:rPr>
          <w:sz w:val="18"/>
        </w:rPr>
        <w:t>about</w:t>
      </w:r>
      <w:r>
        <w:rPr>
          <w:spacing w:val="-5"/>
          <w:sz w:val="18"/>
        </w:rPr>
        <w:t> </w:t>
      </w:r>
      <w:r>
        <w:rPr>
          <w:sz w:val="18"/>
        </w:rPr>
        <w:t>CRC </w:t>
      </w:r>
      <w:r>
        <w:rPr>
          <w:spacing w:val="-2"/>
          <w:sz w:val="18"/>
        </w:rPr>
        <w:t>screening</w:t>
      </w:r>
    </w:p>
    <w:p>
      <w:pPr>
        <w:tabs>
          <w:tab w:pos="959" w:val="left" w:leader="none"/>
        </w:tabs>
        <w:spacing w:before="126"/>
        <w:ind w:left="240" w:right="0" w:firstLine="0"/>
        <w:jc w:val="left"/>
        <w:rPr>
          <w:sz w:val="18"/>
        </w:rPr>
      </w:pPr>
      <w:r>
        <w:rPr/>
        <w:br w:type="column"/>
      </w:r>
      <w:r>
        <w:rPr>
          <w:spacing w:val="-4"/>
          <w:sz w:val="18"/>
        </w:rPr>
        <w:t>3.18</w:t>
      </w:r>
      <w:r>
        <w:rPr>
          <w:sz w:val="18"/>
        </w:rPr>
        <w:tab/>
      </w:r>
      <w:r>
        <w:rPr>
          <w:spacing w:val="-4"/>
          <w:sz w:val="18"/>
        </w:rPr>
        <w:t>1.84</w:t>
      </w: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spacing w:before="72"/>
        <w:rPr>
          <w:sz w:val="18"/>
        </w:rPr>
      </w:pPr>
    </w:p>
    <w:p>
      <w:pPr>
        <w:tabs>
          <w:tab w:pos="960" w:val="left" w:leader="none"/>
        </w:tabs>
        <w:spacing w:before="1"/>
        <w:ind w:left="284" w:right="0" w:firstLine="0"/>
        <w:jc w:val="left"/>
        <w:rPr>
          <w:sz w:val="18"/>
        </w:rPr>
      </w:pPr>
      <w:r>
        <w:rPr>
          <w:spacing w:val="-5"/>
          <w:sz w:val="18"/>
        </w:rPr>
        <w:t>140</w:t>
      </w:r>
      <w:r>
        <w:rPr>
          <w:sz w:val="18"/>
        </w:rPr>
        <w:tab/>
      </w:r>
      <w:r>
        <w:rPr>
          <w:spacing w:val="-4"/>
          <w:sz w:val="18"/>
        </w:rPr>
        <w:t>74.5</w:t>
      </w:r>
    </w:p>
    <w:p>
      <w:pPr>
        <w:spacing w:after="0"/>
        <w:jc w:val="left"/>
        <w:rPr>
          <w:sz w:val="18"/>
        </w:rPr>
        <w:sectPr>
          <w:type w:val="continuous"/>
          <w:pgSz w:w="12240" w:h="15840"/>
          <w:pgMar w:header="723" w:footer="1065" w:top="1340" w:bottom="1260" w:left="1200" w:right="980"/>
          <w:cols w:num="3" w:equalWidth="0">
            <w:col w:w="4603" w:space="437"/>
            <w:col w:w="3033" w:space="505"/>
            <w:col w:w="1482"/>
          </w:cols>
        </w:sectPr>
      </w:pPr>
    </w:p>
    <w:p>
      <w:pPr>
        <w:pStyle w:val="BodyText"/>
        <w:ind w:left="240" w:right="38"/>
        <w:jc w:val="both"/>
      </w:pPr>
      <w:r>
        <w:rPr/>
        <w:t>afraid/concerned that some colorectal cancer screening procedures are painful). Knowledge and belief variables were dichotomous with “0” indicating incorrect or negative beliefs, and “1”</w:t>
      </w:r>
    </w:p>
    <w:p>
      <w:pPr>
        <w:tabs>
          <w:tab w:pos="3823" w:val="left" w:leader="none"/>
          <w:tab w:pos="4814" w:val="right" w:leader="none"/>
        </w:tabs>
        <w:spacing w:line="107" w:lineRule="exact" w:before="0"/>
        <w:ind w:left="420" w:right="0" w:firstLine="0"/>
        <w:jc w:val="left"/>
        <w:rPr>
          <w:sz w:val="18"/>
        </w:rPr>
      </w:pPr>
      <w:r>
        <w:rPr/>
        <w:br w:type="column"/>
      </w:r>
      <w:r>
        <w:rPr>
          <w:sz w:val="18"/>
        </w:rPr>
        <w:t>Plan to</w:t>
      </w:r>
      <w:r>
        <w:rPr>
          <w:spacing w:val="-1"/>
          <w:sz w:val="18"/>
        </w:rPr>
        <w:t> </w:t>
      </w:r>
      <w:r>
        <w:rPr>
          <w:sz w:val="18"/>
        </w:rPr>
        <w:t>participate</w:t>
      </w:r>
      <w:r>
        <w:rPr>
          <w:spacing w:val="-1"/>
          <w:sz w:val="18"/>
        </w:rPr>
        <w:t> </w:t>
      </w:r>
      <w:r>
        <w:rPr>
          <w:sz w:val="18"/>
        </w:rPr>
        <w:t>in CRC </w:t>
      </w:r>
      <w:r>
        <w:rPr>
          <w:spacing w:val="-2"/>
          <w:sz w:val="18"/>
        </w:rPr>
        <w:t>screening</w:t>
      </w:r>
      <w:r>
        <w:rPr>
          <w:sz w:val="18"/>
        </w:rPr>
        <w:tab/>
      </w:r>
      <w:r>
        <w:rPr>
          <w:spacing w:val="-5"/>
          <w:sz w:val="18"/>
        </w:rPr>
        <w:t>139</w:t>
      </w:r>
      <w:r>
        <w:rPr>
          <w:sz w:val="18"/>
        </w:rPr>
        <w:tab/>
      </w:r>
      <w:r>
        <w:rPr>
          <w:spacing w:val="-4"/>
          <w:sz w:val="18"/>
        </w:rPr>
        <w:t>73.5</w:t>
      </w:r>
    </w:p>
    <w:p>
      <w:pPr>
        <w:pStyle w:val="BodyText"/>
        <w:spacing w:before="300"/>
        <w:ind w:left="240" w:right="455"/>
      </w:pPr>
      <w:r>
        <w:rPr/>
        <mc:AlternateContent>
          <mc:Choice Requires="wps">
            <w:drawing>
              <wp:anchor distT="0" distB="0" distL="0" distR="0" allowOverlap="1" layoutInCell="1" locked="0" behindDoc="0" simplePos="0" relativeHeight="15729152">
                <wp:simplePos x="0" y="0"/>
                <wp:positionH relativeFrom="page">
                  <wp:posOffset>4037076</wp:posOffset>
                </wp:positionH>
                <wp:positionV relativeFrom="paragraph">
                  <wp:posOffset>54525</wp:posOffset>
                </wp:positionV>
                <wp:extent cx="3049905" cy="6350"/>
                <wp:effectExtent l="0" t="0" r="0" b="0"/>
                <wp:wrapNone/>
                <wp:docPr id="5" name="Graphic 5"/>
                <wp:cNvGraphicFramePr>
                  <a:graphicFrameLocks/>
                </wp:cNvGraphicFramePr>
                <a:graphic>
                  <a:graphicData uri="http://schemas.microsoft.com/office/word/2010/wordprocessingShape">
                    <wps:wsp>
                      <wps:cNvPr id="5" name="Graphic 5"/>
                      <wps:cNvSpPr/>
                      <wps:spPr>
                        <a:xfrm>
                          <a:off x="0" y="0"/>
                          <a:ext cx="3049905" cy="6350"/>
                        </a:xfrm>
                        <a:custGeom>
                          <a:avLst/>
                          <a:gdLst/>
                          <a:ahLst/>
                          <a:cxnLst/>
                          <a:rect l="l" t="t" r="r" b="b"/>
                          <a:pathLst>
                            <a:path w="3049905" h="6350">
                              <a:moveTo>
                                <a:pt x="3049524" y="0"/>
                              </a:moveTo>
                              <a:lnTo>
                                <a:pt x="3049524" y="0"/>
                              </a:lnTo>
                              <a:lnTo>
                                <a:pt x="0" y="0"/>
                              </a:lnTo>
                              <a:lnTo>
                                <a:pt x="0" y="6096"/>
                              </a:lnTo>
                              <a:lnTo>
                                <a:pt x="3049524" y="6096"/>
                              </a:lnTo>
                              <a:lnTo>
                                <a:pt x="30495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17.880005pt;margin-top:4.293319pt;width:240.120011pt;height:.48pt;mso-position-horizontal-relative:page;mso-position-vertical-relative:paragraph;z-index:15729152" id="docshape5" filled="true" fillcolor="#000000" stroked="false">
                <v:fill type="solid"/>
                <w10:wrap type="none"/>
              </v:rect>
            </w:pict>
          </mc:Fallback>
        </mc:AlternateContent>
      </w:r>
      <w:r>
        <w:rPr/>
        <w:t>indicating</w:t>
      </w:r>
      <w:r>
        <w:rPr>
          <w:spacing w:val="-8"/>
        </w:rPr>
        <w:t> </w:t>
      </w:r>
      <w:r>
        <w:rPr/>
        <w:t>correct</w:t>
      </w:r>
      <w:r>
        <w:rPr>
          <w:spacing w:val="-8"/>
        </w:rPr>
        <w:t> </w:t>
      </w:r>
      <w:r>
        <w:rPr/>
        <w:t>or</w:t>
      </w:r>
      <w:r>
        <w:rPr>
          <w:spacing w:val="-8"/>
        </w:rPr>
        <w:t> </w:t>
      </w:r>
      <w:r>
        <w:rPr/>
        <w:t>positive</w:t>
      </w:r>
      <w:r>
        <w:rPr>
          <w:spacing w:val="-8"/>
        </w:rPr>
        <w:t> </w:t>
      </w:r>
      <w:r>
        <w:rPr/>
        <w:t>beliefs.</w:t>
      </w:r>
      <w:r>
        <w:rPr>
          <w:spacing w:val="-8"/>
        </w:rPr>
        <w:t> </w:t>
      </w:r>
      <w:r>
        <w:rPr/>
        <w:t>Missing responses</w:t>
      </w:r>
      <w:r>
        <w:rPr>
          <w:spacing w:val="-7"/>
        </w:rPr>
        <w:t> </w:t>
      </w:r>
      <w:r>
        <w:rPr/>
        <w:t>of</w:t>
      </w:r>
      <w:r>
        <w:rPr>
          <w:spacing w:val="-6"/>
        </w:rPr>
        <w:t> </w:t>
      </w:r>
      <w:r>
        <w:rPr/>
        <w:t>individual</w:t>
      </w:r>
      <w:r>
        <w:rPr>
          <w:spacing w:val="-7"/>
        </w:rPr>
        <w:t> </w:t>
      </w:r>
      <w:r>
        <w:rPr/>
        <w:t>knowledge</w:t>
      </w:r>
      <w:r>
        <w:rPr>
          <w:spacing w:val="-6"/>
        </w:rPr>
        <w:t> </w:t>
      </w:r>
      <w:r>
        <w:rPr/>
        <w:t>and</w:t>
      </w:r>
      <w:r>
        <w:rPr>
          <w:spacing w:val="-7"/>
        </w:rPr>
        <w:t> </w:t>
      </w:r>
      <w:r>
        <w:rPr>
          <w:spacing w:val="-2"/>
        </w:rPr>
        <w:t>belief</w:t>
      </w:r>
    </w:p>
    <w:p>
      <w:pPr>
        <w:spacing w:after="0"/>
        <w:sectPr>
          <w:type w:val="continuous"/>
          <w:pgSz w:w="12240" w:h="15840"/>
          <w:pgMar w:header="723" w:footer="1065" w:top="1340" w:bottom="1260" w:left="1200" w:right="980"/>
          <w:cols w:num="2" w:equalWidth="0">
            <w:col w:w="4603" w:space="437"/>
            <w:col w:w="5020"/>
          </w:cols>
        </w:sectPr>
      </w:pPr>
    </w:p>
    <w:p>
      <w:pPr>
        <w:pStyle w:val="BodyText"/>
        <w:spacing w:before="81"/>
        <w:ind w:left="240" w:right="144"/>
        <w:jc w:val="both"/>
      </w:pPr>
      <w:r>
        <w:rPr/>
        <w:t>items were assumed to indicate an </w:t>
      </w:r>
      <w:r>
        <w:rPr/>
        <w:t>incorrect response</w:t>
      </w:r>
      <w:r>
        <w:rPr>
          <w:spacing w:val="-1"/>
        </w:rPr>
        <w:t> </w:t>
      </w:r>
      <w:r>
        <w:rPr/>
        <w:t>or</w:t>
      </w:r>
      <w:r>
        <w:rPr>
          <w:spacing w:val="-1"/>
        </w:rPr>
        <w:t> </w:t>
      </w:r>
      <w:r>
        <w:rPr/>
        <w:t>negative</w:t>
      </w:r>
      <w:r>
        <w:rPr>
          <w:spacing w:val="-1"/>
        </w:rPr>
        <w:t> </w:t>
      </w:r>
      <w:r>
        <w:rPr/>
        <w:t>belief,</w:t>
      </w:r>
      <w:r>
        <w:rPr>
          <w:spacing w:val="-1"/>
        </w:rPr>
        <w:t> </w:t>
      </w:r>
      <w:r>
        <w:rPr/>
        <w:t>and</w:t>
      </w:r>
      <w:r>
        <w:rPr>
          <w:spacing w:val="-1"/>
        </w:rPr>
        <w:t> </w:t>
      </w:r>
      <w:r>
        <w:rPr/>
        <w:t>were</w:t>
      </w:r>
      <w:r>
        <w:rPr>
          <w:spacing w:val="-1"/>
        </w:rPr>
        <w:t> </w:t>
      </w:r>
      <w:r>
        <w:rPr/>
        <w:t>imputed</w:t>
      </w:r>
      <w:r>
        <w:rPr>
          <w:spacing w:val="-1"/>
        </w:rPr>
        <w:t> </w:t>
      </w:r>
      <w:r>
        <w:rPr/>
        <w:t>as “0.” The number of correct answers were summed together to create a knowledge score and</w:t>
      </w:r>
      <w:r>
        <w:rPr>
          <w:spacing w:val="-4"/>
        </w:rPr>
        <w:t> </w:t>
      </w:r>
      <w:r>
        <w:rPr/>
        <w:t>belief</w:t>
      </w:r>
      <w:r>
        <w:rPr>
          <w:spacing w:val="-4"/>
        </w:rPr>
        <w:t> </w:t>
      </w:r>
      <w:r>
        <w:rPr/>
        <w:t>score.</w:t>
      </w:r>
      <w:r>
        <w:rPr>
          <w:spacing w:val="-4"/>
        </w:rPr>
        <w:t> </w:t>
      </w:r>
      <w:r>
        <w:rPr/>
        <w:t>Lastly,</w:t>
      </w:r>
      <w:r>
        <w:rPr>
          <w:spacing w:val="-4"/>
        </w:rPr>
        <w:t> </w:t>
      </w:r>
      <w:r>
        <w:rPr/>
        <w:t>there</w:t>
      </w:r>
      <w:r>
        <w:rPr>
          <w:spacing w:val="-4"/>
        </w:rPr>
        <w:t> </w:t>
      </w:r>
      <w:r>
        <w:rPr/>
        <w:t>were</w:t>
      </w:r>
      <w:r>
        <w:rPr>
          <w:spacing w:val="-4"/>
        </w:rPr>
        <w:t> </w:t>
      </w:r>
      <w:r>
        <w:rPr/>
        <w:t>two</w:t>
      </w:r>
      <w:r>
        <w:rPr>
          <w:spacing w:val="-4"/>
        </w:rPr>
        <w:t> </w:t>
      </w:r>
      <w:r>
        <w:rPr/>
        <w:t>intention variables: intention to talk to a doctor about</w:t>
      </w:r>
      <w:r>
        <w:rPr>
          <w:spacing w:val="40"/>
        </w:rPr>
        <w:t> </w:t>
      </w:r>
      <w:r>
        <w:rPr/>
        <w:t>CRC screening, and intention to participate in CRC screening. Attitude was not measured and therefore not included in the analysis.</w:t>
      </w:r>
    </w:p>
    <w:p>
      <w:pPr>
        <w:spacing w:line="207" w:lineRule="exact" w:before="208"/>
        <w:ind w:left="92" w:right="0" w:firstLine="0"/>
        <w:jc w:val="center"/>
        <w:rPr>
          <w:b/>
          <w:sz w:val="18"/>
        </w:rPr>
      </w:pPr>
      <w:r>
        <w:rPr>
          <w:b/>
          <w:sz w:val="18"/>
        </w:rPr>
        <w:t>Table </w:t>
      </w:r>
      <w:r>
        <w:rPr>
          <w:b/>
          <w:spacing w:val="-10"/>
          <w:sz w:val="18"/>
        </w:rPr>
        <w:t>2</w:t>
      </w:r>
    </w:p>
    <w:p>
      <w:pPr>
        <w:spacing w:line="207" w:lineRule="exact" w:before="0"/>
        <w:ind w:left="91" w:right="0" w:firstLine="0"/>
        <w:jc w:val="center"/>
        <w:rPr>
          <w:b/>
          <w:sz w:val="18"/>
        </w:rPr>
      </w:pPr>
      <w:r>
        <w:rPr>
          <w:b/>
          <w:sz w:val="18"/>
        </w:rPr>
        <w:t>Differences</w:t>
      </w:r>
      <w:r>
        <w:rPr>
          <w:b/>
          <w:spacing w:val="-2"/>
          <w:sz w:val="18"/>
        </w:rPr>
        <w:t> </w:t>
      </w:r>
      <w:r>
        <w:rPr>
          <w:b/>
          <w:sz w:val="18"/>
        </w:rPr>
        <w:t>in</w:t>
      </w:r>
      <w:r>
        <w:rPr>
          <w:b/>
          <w:spacing w:val="-4"/>
          <w:sz w:val="18"/>
        </w:rPr>
        <w:t> </w:t>
      </w:r>
      <w:r>
        <w:rPr>
          <w:b/>
          <w:sz w:val="18"/>
        </w:rPr>
        <w:t>Knowledge</w:t>
      </w:r>
      <w:r>
        <w:rPr>
          <w:b/>
          <w:spacing w:val="-3"/>
          <w:sz w:val="18"/>
        </w:rPr>
        <w:t> </w:t>
      </w:r>
      <w:r>
        <w:rPr>
          <w:b/>
          <w:sz w:val="18"/>
        </w:rPr>
        <w:t>and</w:t>
      </w:r>
      <w:r>
        <w:rPr>
          <w:b/>
          <w:spacing w:val="-1"/>
          <w:sz w:val="18"/>
        </w:rPr>
        <w:t> </w:t>
      </w:r>
      <w:r>
        <w:rPr>
          <w:b/>
          <w:sz w:val="18"/>
        </w:rPr>
        <w:t>Belief</w:t>
      </w:r>
      <w:r>
        <w:rPr>
          <w:b/>
          <w:spacing w:val="-3"/>
          <w:sz w:val="18"/>
        </w:rPr>
        <w:t> </w:t>
      </w:r>
      <w:r>
        <w:rPr>
          <w:b/>
          <w:sz w:val="18"/>
        </w:rPr>
        <w:t>Scores,</w:t>
      </w:r>
      <w:r>
        <w:rPr>
          <w:b/>
          <w:spacing w:val="-3"/>
          <w:sz w:val="18"/>
        </w:rPr>
        <w:t> </w:t>
      </w:r>
      <w:r>
        <w:rPr>
          <w:b/>
          <w:sz w:val="18"/>
        </w:rPr>
        <w:t>Pre-test</w:t>
      </w:r>
      <w:r>
        <w:rPr>
          <w:b/>
          <w:spacing w:val="-1"/>
          <w:sz w:val="18"/>
        </w:rPr>
        <w:t> </w:t>
      </w:r>
      <w:r>
        <w:rPr>
          <w:b/>
          <w:spacing w:val="-5"/>
          <w:sz w:val="18"/>
        </w:rPr>
        <w:t>to</w:t>
      </w:r>
    </w:p>
    <w:p>
      <w:pPr>
        <w:tabs>
          <w:tab w:pos="2029" w:val="left" w:leader="none"/>
          <w:tab w:pos="4627" w:val="left" w:leader="none"/>
        </w:tabs>
        <w:spacing w:before="1"/>
        <w:ind w:left="91" w:right="0" w:firstLine="0"/>
        <w:jc w:val="center"/>
        <w:rPr>
          <w:b/>
          <w:sz w:val="18"/>
        </w:rPr>
      </w:pPr>
      <w:r>
        <w:rPr>
          <w:b/>
          <w:sz w:val="18"/>
          <w:u w:val="single"/>
        </w:rPr>
        <w:tab/>
        <w:t>Post-</w:t>
      </w:r>
      <w:r>
        <w:rPr>
          <w:b/>
          <w:spacing w:val="-4"/>
          <w:sz w:val="18"/>
          <w:u w:val="single"/>
        </w:rPr>
        <w:t>test</w:t>
      </w:r>
      <w:r>
        <w:rPr>
          <w:b/>
          <w:sz w:val="18"/>
          <w:u w:val="single"/>
        </w:rPr>
        <w:tab/>
      </w:r>
    </w:p>
    <w:p>
      <w:pPr>
        <w:tabs>
          <w:tab w:pos="1006" w:val="left" w:leader="none"/>
        </w:tabs>
        <w:spacing w:before="6"/>
        <w:ind w:left="0" w:right="4" w:firstLine="0"/>
        <w:jc w:val="center"/>
        <w:rPr>
          <w:sz w:val="18"/>
        </w:rPr>
      </w:pPr>
      <w:r>
        <w:rPr>
          <w:spacing w:val="39"/>
          <w:sz w:val="18"/>
          <w:u w:val="single"/>
        </w:rPr>
        <w:t>  </w:t>
      </w:r>
      <w:r>
        <w:rPr>
          <w:spacing w:val="-2"/>
          <w:sz w:val="18"/>
          <w:u w:val="single"/>
        </w:rPr>
        <w:t>Pre-</w:t>
      </w:r>
      <w:r>
        <w:rPr>
          <w:spacing w:val="-4"/>
          <w:sz w:val="18"/>
          <w:u w:val="single"/>
        </w:rPr>
        <w:t>test</w:t>
      </w:r>
      <w:r>
        <w:rPr>
          <w:sz w:val="18"/>
          <w:u w:val="single"/>
        </w:rPr>
        <w:tab/>
      </w:r>
      <w:r>
        <w:rPr>
          <w:spacing w:val="-2"/>
          <w:sz w:val="18"/>
          <w:u w:val="single"/>
        </w:rPr>
        <w:t>Post-</w:t>
      </w:r>
      <w:r>
        <w:rPr>
          <w:spacing w:val="-4"/>
          <w:sz w:val="18"/>
          <w:u w:val="single"/>
        </w:rPr>
        <w:t>test</w:t>
      </w:r>
      <w:r>
        <w:rPr>
          <w:spacing w:val="40"/>
          <w:sz w:val="18"/>
          <w:u w:val="single"/>
        </w:rPr>
        <w:t> </w:t>
      </w:r>
    </w:p>
    <w:p>
      <w:pPr>
        <w:tabs>
          <w:tab w:pos="1594" w:val="left" w:leader="none"/>
          <w:tab w:pos="2472" w:val="left" w:leader="none"/>
          <w:tab w:pos="3492" w:val="left" w:leader="none"/>
          <w:tab w:pos="3967" w:val="left" w:leader="none"/>
        </w:tabs>
        <w:spacing w:before="9"/>
        <w:ind w:left="91" w:right="0" w:firstLine="0"/>
        <w:jc w:val="center"/>
        <w:rPr>
          <w:sz w:val="18"/>
        </w:rPr>
      </w:pPr>
      <w:r>
        <w:rPr>
          <w:sz w:val="18"/>
          <w:u w:val="single"/>
        </w:rPr>
        <w:tab/>
        <w:t>M </w:t>
      </w:r>
      <w:r>
        <w:rPr>
          <w:spacing w:val="-4"/>
          <w:sz w:val="18"/>
          <w:u w:val="single"/>
        </w:rPr>
        <w:t>(SD)</w:t>
      </w:r>
      <w:r>
        <w:rPr>
          <w:sz w:val="18"/>
          <w:u w:val="single"/>
        </w:rPr>
        <w:tab/>
        <w:t>M </w:t>
      </w:r>
      <w:r>
        <w:rPr>
          <w:spacing w:val="-4"/>
          <w:sz w:val="18"/>
          <w:u w:val="single"/>
        </w:rPr>
        <w:t>(SD)</w:t>
      </w:r>
      <w:r>
        <w:rPr>
          <w:sz w:val="18"/>
          <w:u w:val="single"/>
        </w:rPr>
        <w:tab/>
      </w:r>
      <w:r>
        <w:rPr>
          <w:spacing w:val="-10"/>
          <w:sz w:val="18"/>
          <w:u w:val="single"/>
        </w:rPr>
        <w:t>t</w:t>
      </w:r>
      <w:r>
        <w:rPr>
          <w:sz w:val="18"/>
          <w:u w:val="single"/>
        </w:rPr>
        <w:tab/>
      </w:r>
      <w:r>
        <w:rPr>
          <w:spacing w:val="-2"/>
          <w:sz w:val="18"/>
          <w:u w:val="single"/>
        </w:rPr>
        <w:t>p-</w:t>
      </w:r>
      <w:r>
        <w:rPr>
          <w:spacing w:val="-4"/>
          <w:sz w:val="18"/>
          <w:u w:val="single"/>
        </w:rPr>
        <w:t>value</w:t>
      </w:r>
      <w:r>
        <w:rPr>
          <w:spacing w:val="40"/>
          <w:sz w:val="18"/>
          <w:u w:val="single"/>
        </w:rPr>
        <w:t> </w:t>
      </w:r>
    </w:p>
    <w:tbl>
      <w:tblPr>
        <w:tblW w:w="0" w:type="auto"/>
        <w:jc w:val="left"/>
        <w:tblInd w:w="1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252"/>
        <w:gridCol w:w="1024"/>
        <w:gridCol w:w="783"/>
        <w:gridCol w:w="766"/>
        <w:gridCol w:w="600"/>
      </w:tblGrid>
      <w:tr>
        <w:trPr>
          <w:trHeight w:val="203" w:hRule="atLeast"/>
        </w:trPr>
        <w:tc>
          <w:tcPr>
            <w:tcW w:w="1252" w:type="dxa"/>
          </w:tcPr>
          <w:p>
            <w:pPr>
              <w:pStyle w:val="TableParagraph"/>
              <w:spacing w:line="183" w:lineRule="exact"/>
              <w:ind w:left="50"/>
              <w:rPr>
                <w:sz w:val="18"/>
              </w:rPr>
            </w:pPr>
            <w:r>
              <w:rPr>
                <w:spacing w:val="-2"/>
                <w:sz w:val="18"/>
              </w:rPr>
              <w:t>Total</w:t>
            </w:r>
          </w:p>
        </w:tc>
        <w:tc>
          <w:tcPr>
            <w:tcW w:w="1024" w:type="dxa"/>
          </w:tcPr>
          <w:p>
            <w:pPr>
              <w:pStyle w:val="TableParagraph"/>
              <w:spacing w:line="183" w:lineRule="exact"/>
              <w:ind w:right="221"/>
              <w:jc w:val="right"/>
              <w:rPr>
                <w:sz w:val="18"/>
              </w:rPr>
            </w:pPr>
            <w:r>
              <w:rPr>
                <w:spacing w:val="-4"/>
                <w:sz w:val="18"/>
              </w:rPr>
              <w:t>3.25</w:t>
            </w:r>
          </w:p>
        </w:tc>
        <w:tc>
          <w:tcPr>
            <w:tcW w:w="783" w:type="dxa"/>
          </w:tcPr>
          <w:p>
            <w:pPr>
              <w:pStyle w:val="TableParagraph"/>
              <w:spacing w:line="183" w:lineRule="exact"/>
              <w:ind w:right="127"/>
              <w:jc w:val="right"/>
              <w:rPr>
                <w:sz w:val="18"/>
              </w:rPr>
            </w:pPr>
            <w:r>
              <w:rPr>
                <w:spacing w:val="-4"/>
                <w:sz w:val="18"/>
              </w:rPr>
              <w:t>5.78</w:t>
            </w:r>
          </w:p>
        </w:tc>
        <w:tc>
          <w:tcPr>
            <w:tcW w:w="766" w:type="dxa"/>
          </w:tcPr>
          <w:p>
            <w:pPr>
              <w:pStyle w:val="TableParagraph"/>
              <w:spacing w:line="183" w:lineRule="exact"/>
              <w:ind w:right="235"/>
              <w:jc w:val="right"/>
              <w:rPr>
                <w:sz w:val="18"/>
              </w:rPr>
            </w:pPr>
            <w:r>
              <w:rPr>
                <w:spacing w:val="-10"/>
                <w:sz w:val="18"/>
              </w:rPr>
              <w:t>-</w:t>
            </w:r>
          </w:p>
        </w:tc>
        <w:tc>
          <w:tcPr>
            <w:tcW w:w="600" w:type="dxa"/>
          </w:tcPr>
          <w:p>
            <w:pPr>
              <w:pStyle w:val="TableParagraph"/>
              <w:spacing w:line="183" w:lineRule="exact"/>
              <w:ind w:right="51"/>
              <w:jc w:val="right"/>
              <w:rPr>
                <w:sz w:val="18"/>
              </w:rPr>
            </w:pPr>
            <w:r>
              <w:rPr>
                <w:spacing w:val="-4"/>
                <w:sz w:val="18"/>
              </w:rPr>
              <w:t>.000</w:t>
            </w:r>
          </w:p>
        </w:tc>
      </w:tr>
      <w:tr>
        <w:trPr>
          <w:trHeight w:val="207" w:hRule="atLeast"/>
        </w:trPr>
        <w:tc>
          <w:tcPr>
            <w:tcW w:w="1252" w:type="dxa"/>
          </w:tcPr>
          <w:p>
            <w:pPr>
              <w:pStyle w:val="TableParagraph"/>
              <w:spacing w:line="187" w:lineRule="exact"/>
              <w:ind w:left="50"/>
              <w:rPr>
                <w:sz w:val="18"/>
              </w:rPr>
            </w:pPr>
            <w:r>
              <w:rPr>
                <w:spacing w:val="-2"/>
                <w:sz w:val="18"/>
              </w:rPr>
              <w:t>knowledge</w:t>
            </w:r>
          </w:p>
        </w:tc>
        <w:tc>
          <w:tcPr>
            <w:tcW w:w="1024" w:type="dxa"/>
          </w:tcPr>
          <w:p>
            <w:pPr>
              <w:pStyle w:val="TableParagraph"/>
              <w:spacing w:line="187" w:lineRule="exact"/>
              <w:ind w:right="219"/>
              <w:jc w:val="right"/>
              <w:rPr>
                <w:sz w:val="18"/>
              </w:rPr>
            </w:pPr>
            <w:r>
              <w:rPr>
                <w:spacing w:val="-2"/>
                <w:sz w:val="18"/>
              </w:rPr>
              <w:t>(2.05)</w:t>
            </w:r>
          </w:p>
        </w:tc>
        <w:tc>
          <w:tcPr>
            <w:tcW w:w="783" w:type="dxa"/>
          </w:tcPr>
          <w:p>
            <w:pPr>
              <w:pStyle w:val="TableParagraph"/>
              <w:spacing w:line="187" w:lineRule="exact"/>
              <w:ind w:right="125"/>
              <w:jc w:val="right"/>
              <w:rPr>
                <w:sz w:val="18"/>
              </w:rPr>
            </w:pPr>
            <w:r>
              <w:rPr>
                <w:spacing w:val="-2"/>
                <w:sz w:val="18"/>
              </w:rPr>
              <w:t>(0.82)</w:t>
            </w:r>
          </w:p>
        </w:tc>
        <w:tc>
          <w:tcPr>
            <w:tcW w:w="766" w:type="dxa"/>
          </w:tcPr>
          <w:p>
            <w:pPr>
              <w:pStyle w:val="TableParagraph"/>
              <w:spacing w:line="187" w:lineRule="exact"/>
              <w:ind w:right="234"/>
              <w:jc w:val="right"/>
              <w:rPr>
                <w:sz w:val="18"/>
              </w:rPr>
            </w:pPr>
            <w:r>
              <w:rPr>
                <w:spacing w:val="-2"/>
                <w:sz w:val="18"/>
              </w:rPr>
              <w:t>16.36</w:t>
            </w:r>
          </w:p>
        </w:tc>
        <w:tc>
          <w:tcPr>
            <w:tcW w:w="600" w:type="dxa"/>
          </w:tcPr>
          <w:p>
            <w:pPr>
              <w:pStyle w:val="TableParagraph"/>
              <w:rPr>
                <w:sz w:val="14"/>
              </w:rPr>
            </w:pPr>
          </w:p>
        </w:tc>
      </w:tr>
      <w:tr>
        <w:trPr>
          <w:trHeight w:val="207" w:hRule="atLeast"/>
        </w:trPr>
        <w:tc>
          <w:tcPr>
            <w:tcW w:w="1252" w:type="dxa"/>
          </w:tcPr>
          <w:p>
            <w:pPr>
              <w:pStyle w:val="TableParagraph"/>
              <w:spacing w:line="187" w:lineRule="exact"/>
              <w:ind w:left="50"/>
              <w:rPr>
                <w:sz w:val="18"/>
              </w:rPr>
            </w:pPr>
            <w:r>
              <w:rPr>
                <w:spacing w:val="-2"/>
                <w:sz w:val="18"/>
              </w:rPr>
              <w:t>score</w:t>
            </w:r>
          </w:p>
        </w:tc>
        <w:tc>
          <w:tcPr>
            <w:tcW w:w="1024" w:type="dxa"/>
          </w:tcPr>
          <w:p>
            <w:pPr>
              <w:pStyle w:val="TableParagraph"/>
              <w:rPr>
                <w:sz w:val="14"/>
              </w:rPr>
            </w:pPr>
          </w:p>
        </w:tc>
        <w:tc>
          <w:tcPr>
            <w:tcW w:w="783" w:type="dxa"/>
          </w:tcPr>
          <w:p>
            <w:pPr>
              <w:pStyle w:val="TableParagraph"/>
              <w:rPr>
                <w:sz w:val="14"/>
              </w:rPr>
            </w:pPr>
          </w:p>
        </w:tc>
        <w:tc>
          <w:tcPr>
            <w:tcW w:w="766" w:type="dxa"/>
          </w:tcPr>
          <w:p>
            <w:pPr>
              <w:pStyle w:val="TableParagraph"/>
              <w:rPr>
                <w:sz w:val="14"/>
              </w:rPr>
            </w:pPr>
          </w:p>
        </w:tc>
        <w:tc>
          <w:tcPr>
            <w:tcW w:w="600" w:type="dxa"/>
          </w:tcPr>
          <w:p>
            <w:pPr>
              <w:pStyle w:val="TableParagraph"/>
              <w:rPr>
                <w:sz w:val="14"/>
              </w:rPr>
            </w:pPr>
          </w:p>
        </w:tc>
      </w:tr>
      <w:tr>
        <w:trPr>
          <w:trHeight w:val="203" w:hRule="atLeast"/>
        </w:trPr>
        <w:tc>
          <w:tcPr>
            <w:tcW w:w="1252" w:type="dxa"/>
          </w:tcPr>
          <w:p>
            <w:pPr>
              <w:pStyle w:val="TableParagraph"/>
              <w:spacing w:line="183" w:lineRule="exact"/>
              <w:ind w:left="50"/>
              <w:rPr>
                <w:sz w:val="18"/>
              </w:rPr>
            </w:pPr>
            <w:r>
              <w:rPr>
                <w:sz w:val="18"/>
              </w:rPr>
              <w:t>Total</w:t>
            </w:r>
            <w:r>
              <w:rPr>
                <w:spacing w:val="-1"/>
                <w:sz w:val="18"/>
              </w:rPr>
              <w:t> </w:t>
            </w:r>
            <w:r>
              <w:rPr>
                <w:spacing w:val="-2"/>
                <w:sz w:val="18"/>
              </w:rPr>
              <w:t>belief</w:t>
            </w:r>
          </w:p>
        </w:tc>
        <w:tc>
          <w:tcPr>
            <w:tcW w:w="1024" w:type="dxa"/>
          </w:tcPr>
          <w:p>
            <w:pPr>
              <w:pStyle w:val="TableParagraph"/>
              <w:spacing w:line="183" w:lineRule="exact"/>
              <w:ind w:right="221"/>
              <w:jc w:val="right"/>
              <w:rPr>
                <w:sz w:val="18"/>
              </w:rPr>
            </w:pPr>
            <w:r>
              <w:rPr>
                <w:spacing w:val="-4"/>
                <w:sz w:val="18"/>
              </w:rPr>
              <w:t>3.55</w:t>
            </w:r>
          </w:p>
        </w:tc>
        <w:tc>
          <w:tcPr>
            <w:tcW w:w="783" w:type="dxa"/>
          </w:tcPr>
          <w:p>
            <w:pPr>
              <w:pStyle w:val="TableParagraph"/>
              <w:spacing w:line="183" w:lineRule="exact"/>
              <w:ind w:right="127"/>
              <w:jc w:val="right"/>
              <w:rPr>
                <w:sz w:val="18"/>
              </w:rPr>
            </w:pPr>
            <w:r>
              <w:rPr>
                <w:spacing w:val="-4"/>
                <w:sz w:val="18"/>
              </w:rPr>
              <w:t>7.31</w:t>
            </w:r>
          </w:p>
        </w:tc>
        <w:tc>
          <w:tcPr>
            <w:tcW w:w="766" w:type="dxa"/>
          </w:tcPr>
          <w:p>
            <w:pPr>
              <w:pStyle w:val="TableParagraph"/>
              <w:spacing w:line="183" w:lineRule="exact"/>
              <w:ind w:right="235"/>
              <w:jc w:val="right"/>
              <w:rPr>
                <w:sz w:val="18"/>
              </w:rPr>
            </w:pPr>
            <w:r>
              <w:rPr>
                <w:spacing w:val="-10"/>
                <w:sz w:val="18"/>
              </w:rPr>
              <w:t>-</w:t>
            </w:r>
          </w:p>
        </w:tc>
        <w:tc>
          <w:tcPr>
            <w:tcW w:w="600" w:type="dxa"/>
          </w:tcPr>
          <w:p>
            <w:pPr>
              <w:pStyle w:val="TableParagraph"/>
              <w:spacing w:line="183" w:lineRule="exact"/>
              <w:ind w:right="51"/>
              <w:jc w:val="right"/>
              <w:rPr>
                <w:sz w:val="18"/>
              </w:rPr>
            </w:pPr>
            <w:r>
              <w:rPr>
                <w:spacing w:val="-4"/>
                <w:sz w:val="18"/>
              </w:rPr>
              <w:t>.000</w:t>
            </w:r>
          </w:p>
        </w:tc>
      </w:tr>
    </w:tbl>
    <w:p>
      <w:pPr>
        <w:tabs>
          <w:tab w:pos="1768" w:val="left" w:leader="none"/>
          <w:tab w:pos="2645" w:val="left" w:leader="none"/>
          <w:tab w:pos="3333" w:val="left" w:leader="none"/>
          <w:tab w:pos="4627" w:val="left" w:leader="none"/>
        </w:tabs>
        <w:spacing w:before="19"/>
        <w:ind w:left="77" w:right="0" w:firstLine="0"/>
        <w:jc w:val="center"/>
        <w:rPr>
          <w:sz w:val="18"/>
        </w:rPr>
      </w:pPr>
      <w:r>
        <w:rPr>
          <w:spacing w:val="77"/>
          <w:sz w:val="18"/>
          <w:u w:val="single"/>
        </w:rPr>
        <w:t> </w:t>
      </w:r>
      <w:r>
        <w:rPr>
          <w:spacing w:val="-2"/>
          <w:sz w:val="18"/>
          <w:u w:val="single"/>
        </w:rPr>
        <w:t>score</w:t>
      </w:r>
      <w:r>
        <w:rPr>
          <w:sz w:val="18"/>
          <w:u w:val="single"/>
        </w:rPr>
        <w:tab/>
      </w:r>
      <w:r>
        <w:rPr>
          <w:spacing w:val="-2"/>
          <w:sz w:val="18"/>
          <w:u w:val="single"/>
        </w:rPr>
        <w:t>(2.39)</w:t>
      </w:r>
      <w:r>
        <w:rPr>
          <w:sz w:val="18"/>
          <w:u w:val="single"/>
        </w:rPr>
        <w:tab/>
      </w:r>
      <w:r>
        <w:rPr>
          <w:spacing w:val="-2"/>
          <w:sz w:val="18"/>
          <w:u w:val="single"/>
        </w:rPr>
        <w:t>(1.52)</w:t>
      </w:r>
      <w:r>
        <w:rPr>
          <w:sz w:val="18"/>
          <w:u w:val="single"/>
        </w:rPr>
        <w:tab/>
      </w:r>
      <w:r>
        <w:rPr>
          <w:spacing w:val="-2"/>
          <w:sz w:val="18"/>
          <w:u w:val="single"/>
        </w:rPr>
        <w:t>21.85</w:t>
      </w:r>
      <w:r>
        <w:rPr>
          <w:sz w:val="18"/>
          <w:u w:val="single"/>
        </w:rPr>
        <w:tab/>
      </w:r>
    </w:p>
    <w:p>
      <w:pPr>
        <w:pStyle w:val="BodyText"/>
        <w:spacing w:before="59"/>
        <w:rPr>
          <w:sz w:val="18"/>
        </w:rPr>
      </w:pPr>
    </w:p>
    <w:p>
      <w:pPr>
        <w:pStyle w:val="Heading2"/>
        <w:spacing w:before="1"/>
        <w:jc w:val="both"/>
      </w:pPr>
      <w:r>
        <w:rPr/>
        <w:t>Statistical</w:t>
      </w:r>
      <w:r>
        <w:rPr>
          <w:spacing w:val="-10"/>
        </w:rPr>
        <w:t> </w:t>
      </w:r>
      <w:r>
        <w:rPr>
          <w:spacing w:val="-2"/>
        </w:rPr>
        <w:t>Analyses</w:t>
      </w:r>
    </w:p>
    <w:p>
      <w:pPr>
        <w:pStyle w:val="BodyText"/>
        <w:ind w:left="239" w:right="143"/>
        <w:jc w:val="both"/>
      </w:pPr>
      <w:r>
        <w:rPr>
          <w:b/>
        </w:rPr>
        <w:t>Descriptive statistics</w:t>
      </w:r>
      <w:r>
        <w:rPr/>
        <w:t>. Frequencies and percentages were calculated to describe: age; educational attainment; gender; race/ethnicity; birthplace; received a referral for cancer screening; ever heard of a sigmoidoscopy, colonoscopy, or FOBT; positive changes in knowledge and belief scores; and positive intentions. In addition, frequencies and percentages were calculated to describe positive change</w:t>
      </w:r>
      <w:r>
        <w:rPr>
          <w:spacing w:val="-2"/>
        </w:rPr>
        <w:t> </w:t>
      </w:r>
      <w:r>
        <w:rPr/>
        <w:t>in</w:t>
      </w:r>
      <w:r>
        <w:rPr>
          <w:spacing w:val="-2"/>
        </w:rPr>
        <w:t> </w:t>
      </w:r>
      <w:r>
        <w:rPr/>
        <w:t>knowledge</w:t>
      </w:r>
      <w:r>
        <w:rPr>
          <w:spacing w:val="-2"/>
        </w:rPr>
        <w:t> </w:t>
      </w:r>
      <w:r>
        <w:rPr/>
        <w:t>and</w:t>
      </w:r>
      <w:r>
        <w:rPr>
          <w:spacing w:val="-2"/>
        </w:rPr>
        <w:t> </w:t>
      </w:r>
      <w:r>
        <w:rPr/>
        <w:t>belief</w:t>
      </w:r>
      <w:r>
        <w:rPr>
          <w:spacing w:val="-2"/>
        </w:rPr>
        <w:t> </w:t>
      </w:r>
      <w:r>
        <w:rPr/>
        <w:t>scores from</w:t>
      </w:r>
      <w:r>
        <w:rPr>
          <w:spacing w:val="-3"/>
        </w:rPr>
        <w:t> </w:t>
      </w:r>
      <w:r>
        <w:rPr/>
        <w:t>pre- test to post-test; and plans to talk to a doctor about CRC screening, and plan to participate in CRC screening at post-test. Mean and standard deviation</w:t>
      </w:r>
      <w:r>
        <w:rPr>
          <w:spacing w:val="-5"/>
        </w:rPr>
        <w:t> </w:t>
      </w:r>
      <w:r>
        <w:rPr/>
        <w:t>were</w:t>
      </w:r>
      <w:r>
        <w:rPr>
          <w:spacing w:val="-5"/>
        </w:rPr>
        <w:t> </w:t>
      </w:r>
      <w:r>
        <w:rPr/>
        <w:t>calculated</w:t>
      </w:r>
      <w:r>
        <w:rPr>
          <w:spacing w:val="-5"/>
        </w:rPr>
        <w:t> </w:t>
      </w:r>
      <w:r>
        <w:rPr/>
        <w:t>to</w:t>
      </w:r>
      <w:r>
        <w:rPr>
          <w:spacing w:val="-5"/>
        </w:rPr>
        <w:t> </w:t>
      </w:r>
      <w:r>
        <w:rPr/>
        <w:t>describe</w:t>
      </w:r>
      <w:r>
        <w:rPr>
          <w:spacing w:val="-5"/>
        </w:rPr>
        <w:t> </w:t>
      </w:r>
      <w:r>
        <w:rPr/>
        <w:t>the</w:t>
      </w:r>
      <w:r>
        <w:rPr>
          <w:spacing w:val="-5"/>
        </w:rPr>
        <w:t> </w:t>
      </w:r>
      <w:r>
        <w:rPr/>
        <w:t>number of times seeing a doctor in the past 12 months.</w:t>
      </w:r>
    </w:p>
    <w:p>
      <w:pPr>
        <w:pStyle w:val="BodyText"/>
        <w:spacing w:before="252"/>
        <w:ind w:left="240" w:right="143"/>
        <w:jc w:val="both"/>
      </w:pPr>
      <w:r>
        <w:rPr>
          <w:b/>
        </w:rPr>
        <w:t>Relational statistics</w:t>
      </w:r>
      <w:r>
        <w:rPr/>
        <w:t>. Paired samples </w:t>
      </w:r>
      <w:r>
        <w:rPr>
          <w:i/>
        </w:rPr>
        <w:t>t</w:t>
      </w:r>
      <w:r>
        <w:rPr/>
        <w:t>-tests</w:t>
      </w:r>
      <w:r>
        <w:rPr>
          <w:spacing w:val="40"/>
        </w:rPr>
        <w:t> </w:t>
      </w:r>
      <w:r>
        <w:rPr/>
        <w:t>were conducted to determine if there were significant differences between pre- and post- tests on knowledge and belief scores. In</w:t>
      </w:r>
      <w:r>
        <w:rPr>
          <w:spacing w:val="40"/>
        </w:rPr>
        <w:t> </w:t>
      </w:r>
      <w:r>
        <w:rPr/>
        <w:t>addition, chi-square tests were conducted to assess the relationships between the independent (demographic, enabling, and predisposing characteristics) and dependent (intentions) variables measured at post-test. Lastly, two logistic regression models were conducted to assess significant predictors of intention to talk to doctor, and intention to participate in screening. Variables found to be significantly associated with intentions were included in the logistic regression model.</w:t>
      </w:r>
    </w:p>
    <w:p>
      <w:pPr>
        <w:pStyle w:val="Heading2"/>
        <w:spacing w:line="240" w:lineRule="auto" w:before="82"/>
        <w:ind w:left="0" w:right="341"/>
        <w:jc w:val="center"/>
      </w:pPr>
      <w:r>
        <w:rPr>
          <w:b w:val="0"/>
        </w:rPr>
        <w:br w:type="column"/>
      </w:r>
      <w:r>
        <w:rPr>
          <w:spacing w:val="-2"/>
        </w:rPr>
        <w:t>Results</w:t>
      </w:r>
    </w:p>
    <w:p>
      <w:pPr>
        <w:pStyle w:val="BodyText"/>
        <w:spacing w:before="252"/>
        <w:ind w:left="117" w:right="457"/>
        <w:jc w:val="both"/>
      </w:pPr>
      <w:r>
        <w:rPr/>
        <w:t>Table 1 presents the characteristics of the participants. A majority of participants had not received a referral for cancer screening (88.8%), were female (90.8%), and Chamorro (91.3%).</w:t>
      </w:r>
    </w:p>
    <w:p>
      <w:pPr>
        <w:pStyle w:val="BodyText"/>
        <w:ind w:left="117" w:right="456"/>
        <w:jc w:val="both"/>
      </w:pPr>
      <w:r>
        <w:rPr/>
        <w:t>Evaluation found the culturally tailored education workshop resulted in 70.9% of participants with a positive increase in knowledge scores and 93.9% with a positive increase in belief scores. Post-test </w:t>
      </w:r>
      <w:r>
        <w:rPr/>
        <w:t>surveys indicated a large majority (74.5%) intended to talk to a doctor about CRC screening, and intended to participate in CRC screening (73.5%). Table 2 presents the paired samples t- tests calculated for the total knowledge and belief score variables; it was found that the post- test total knowledge scores (</w:t>
      </w:r>
      <w:r>
        <w:rPr>
          <w:i/>
        </w:rPr>
        <w:t>M </w:t>
      </w:r>
      <w:r>
        <w:rPr/>
        <w:t>= 5.78 </w:t>
      </w:r>
      <w:r>
        <w:rPr>
          <w:i/>
        </w:rPr>
        <w:t>SD </w:t>
      </w:r>
      <w:r>
        <w:rPr/>
        <w:t>=</w:t>
      </w:r>
      <w:r>
        <w:rPr>
          <w:spacing w:val="80"/>
        </w:rPr>
        <w:t> </w:t>
      </w:r>
      <w:r>
        <w:rPr/>
        <w:t>0.82) were significantly higher than the pre-test scores</w:t>
      </w:r>
      <w:r>
        <w:rPr>
          <w:spacing w:val="-2"/>
        </w:rPr>
        <w:t> </w:t>
      </w:r>
      <w:r>
        <w:rPr/>
        <w:t>(</w:t>
      </w:r>
      <w:r>
        <w:rPr>
          <w:i/>
        </w:rPr>
        <w:t>M</w:t>
      </w:r>
      <w:r>
        <w:rPr>
          <w:i/>
          <w:spacing w:val="-2"/>
        </w:rPr>
        <w:t> </w:t>
      </w:r>
      <w:r>
        <w:rPr/>
        <w:t>=</w:t>
      </w:r>
      <w:r>
        <w:rPr>
          <w:spacing w:val="-2"/>
        </w:rPr>
        <w:t> </w:t>
      </w:r>
      <w:r>
        <w:rPr/>
        <w:t>3.25</w:t>
      </w:r>
      <w:r>
        <w:rPr>
          <w:spacing w:val="-1"/>
        </w:rPr>
        <w:t> </w:t>
      </w:r>
      <w:r>
        <w:rPr>
          <w:i/>
        </w:rPr>
        <w:t>SD</w:t>
      </w:r>
      <w:r>
        <w:rPr>
          <w:i/>
          <w:spacing w:val="-2"/>
        </w:rPr>
        <w:t> </w:t>
      </w:r>
      <w:r>
        <w:rPr/>
        <w:t>=</w:t>
      </w:r>
      <w:r>
        <w:rPr>
          <w:spacing w:val="-2"/>
        </w:rPr>
        <w:t> </w:t>
      </w:r>
      <w:r>
        <w:rPr/>
        <w:t>2.05).</w:t>
      </w:r>
      <w:r>
        <w:rPr>
          <w:spacing w:val="-2"/>
        </w:rPr>
        <w:t> </w:t>
      </w:r>
      <w:r>
        <w:rPr/>
        <w:t>Similarly,</w:t>
      </w:r>
      <w:r>
        <w:rPr>
          <w:spacing w:val="-2"/>
        </w:rPr>
        <w:t> </w:t>
      </w:r>
      <w:r>
        <w:rPr/>
        <w:t>the</w:t>
      </w:r>
      <w:r>
        <w:rPr>
          <w:spacing w:val="-2"/>
        </w:rPr>
        <w:t> </w:t>
      </w:r>
      <w:r>
        <w:rPr/>
        <w:t>post- test total belief scores (</w:t>
      </w:r>
      <w:r>
        <w:rPr>
          <w:i/>
        </w:rPr>
        <w:t>M </w:t>
      </w:r>
      <w:r>
        <w:rPr/>
        <w:t>= 7.31 </w:t>
      </w:r>
      <w:r>
        <w:rPr>
          <w:i/>
        </w:rPr>
        <w:t>SD </w:t>
      </w:r>
      <w:r>
        <w:rPr/>
        <w:t>= 1.52)</w:t>
      </w:r>
      <w:r>
        <w:rPr>
          <w:spacing w:val="40"/>
        </w:rPr>
        <w:t> </w:t>
      </w:r>
      <w:r>
        <w:rPr/>
        <w:t>were significantly higher than the pre-test scores (</w:t>
      </w:r>
      <w:r>
        <w:rPr>
          <w:i/>
        </w:rPr>
        <w:t>M </w:t>
      </w:r>
      <w:r>
        <w:rPr/>
        <w:t>= 3.55 </w:t>
      </w:r>
      <w:r>
        <w:rPr>
          <w:i/>
        </w:rPr>
        <w:t>SD </w:t>
      </w:r>
      <w:r>
        <w:rPr/>
        <w:t>= 2.39; data not shown in table).</w:t>
      </w:r>
    </w:p>
    <w:p>
      <w:pPr>
        <w:pStyle w:val="BodyText"/>
      </w:pPr>
    </w:p>
    <w:p>
      <w:pPr>
        <w:pStyle w:val="BodyText"/>
        <w:ind w:left="117" w:right="456"/>
        <w:jc w:val="both"/>
      </w:pPr>
      <w:r>
        <w:rPr/>
        <w:t>Table 3 presents the comparisons of the independent variables to the intention variables at post-test. It was found that birthplace outside of the U.S. (p= .001) and a positive change in knowledge score (p&lt; .001) were significantly associated with intention to talk to a doctor</w:t>
      </w:r>
      <w:r>
        <w:rPr>
          <w:spacing w:val="40"/>
        </w:rPr>
        <w:t> </w:t>
      </w:r>
      <w:r>
        <w:rPr/>
        <w:t>about CRC screening. In addition, it was found that birthplace outside of the U.S. (p= .001), female</w:t>
      </w:r>
      <w:r>
        <w:rPr>
          <w:spacing w:val="42"/>
        </w:rPr>
        <w:t> </w:t>
      </w:r>
      <w:r>
        <w:rPr/>
        <w:t>(p=</w:t>
      </w:r>
      <w:r>
        <w:rPr>
          <w:spacing w:val="43"/>
        </w:rPr>
        <w:t> </w:t>
      </w:r>
      <w:r>
        <w:rPr/>
        <w:t>.044),</w:t>
      </w:r>
      <w:r>
        <w:rPr>
          <w:spacing w:val="43"/>
        </w:rPr>
        <w:t> </w:t>
      </w:r>
      <w:r>
        <w:rPr/>
        <w:t>ever</w:t>
      </w:r>
      <w:r>
        <w:rPr>
          <w:spacing w:val="43"/>
        </w:rPr>
        <w:t> </w:t>
      </w:r>
      <w:r>
        <w:rPr/>
        <w:t>received</w:t>
      </w:r>
      <w:r>
        <w:rPr>
          <w:spacing w:val="43"/>
        </w:rPr>
        <w:t> </w:t>
      </w:r>
      <w:r>
        <w:rPr/>
        <w:t>a</w:t>
      </w:r>
      <w:r>
        <w:rPr>
          <w:spacing w:val="43"/>
        </w:rPr>
        <w:t> </w:t>
      </w:r>
      <w:r>
        <w:rPr/>
        <w:t>referral</w:t>
      </w:r>
      <w:r>
        <w:rPr>
          <w:spacing w:val="44"/>
        </w:rPr>
        <w:t> </w:t>
      </w:r>
      <w:r>
        <w:rPr>
          <w:spacing w:val="-5"/>
        </w:rPr>
        <w:t>(p=</w:t>
      </w:r>
    </w:p>
    <w:p>
      <w:pPr>
        <w:pStyle w:val="BodyText"/>
        <w:ind w:left="117" w:right="458"/>
        <w:jc w:val="both"/>
      </w:pPr>
      <w:r>
        <w:rPr/>
        <w:t>.021), and positive change in knowledge score (p&lt; .001) were significantly associated with intention to participate in CRC screening.</w:t>
      </w:r>
    </w:p>
    <w:p>
      <w:pPr>
        <w:pStyle w:val="BodyText"/>
        <w:spacing w:before="252"/>
        <w:ind w:left="117" w:right="456"/>
        <w:jc w:val="both"/>
      </w:pPr>
      <w:r>
        <w:rPr/>
        <w:t>Table 4 presents the two logistic regression models exploring the relationship between the independent variables found to be bivariately associated with intentions to talk to a doctor about CRC screening, and participate in CRC screening. Positive change in knowledge score (p&lt; .001) was a significant predictor for</w:t>
      </w:r>
      <w:r>
        <w:rPr>
          <w:spacing w:val="40"/>
        </w:rPr>
        <w:t> </w:t>
      </w:r>
      <w:r>
        <w:rPr/>
        <w:t>planning to talk to a doctor about CRC screening. Female gender (p= .001) and positive change in knowledge score (p&lt; .001) were significant predictors for planning to participate in screening.</w:t>
      </w:r>
    </w:p>
    <w:p>
      <w:pPr>
        <w:pStyle w:val="BodyText"/>
        <w:spacing w:before="2"/>
      </w:pPr>
    </w:p>
    <w:p>
      <w:pPr>
        <w:pStyle w:val="Heading2"/>
        <w:spacing w:line="240" w:lineRule="auto"/>
        <w:ind w:left="0" w:right="341"/>
        <w:jc w:val="center"/>
      </w:pPr>
      <w:r>
        <w:rPr>
          <w:spacing w:val="-2"/>
        </w:rPr>
        <w:t>Discussion</w:t>
      </w:r>
    </w:p>
    <w:p>
      <w:pPr>
        <w:spacing w:after="0" w:line="240" w:lineRule="auto"/>
        <w:jc w:val="center"/>
        <w:sectPr>
          <w:pgSz w:w="12240" w:h="15840"/>
          <w:pgMar w:header="723" w:footer="1065" w:top="1340" w:bottom="1260" w:left="1200" w:right="980"/>
          <w:cols w:num="2" w:equalWidth="0">
            <w:col w:w="4708" w:space="454"/>
            <w:col w:w="4898"/>
          </w:cols>
        </w:sectPr>
      </w:pPr>
    </w:p>
    <w:p>
      <w:pPr>
        <w:spacing w:line="207" w:lineRule="exact" w:before="82"/>
        <w:ind w:left="272" w:right="489" w:firstLine="0"/>
        <w:jc w:val="center"/>
        <w:rPr>
          <w:b/>
          <w:sz w:val="18"/>
        </w:rPr>
      </w:pPr>
      <w:r>
        <w:rPr>
          <w:b/>
          <w:sz w:val="18"/>
        </w:rPr>
        <w:t>Table </w:t>
      </w:r>
      <w:r>
        <w:rPr>
          <w:b/>
          <w:spacing w:val="-10"/>
          <w:sz w:val="18"/>
        </w:rPr>
        <w:t>3</w:t>
      </w:r>
    </w:p>
    <w:p>
      <w:pPr>
        <w:spacing w:line="207" w:lineRule="exact" w:before="0" w:after="2"/>
        <w:ind w:left="271" w:right="489" w:firstLine="0"/>
        <w:jc w:val="center"/>
        <w:rPr>
          <w:b/>
          <w:sz w:val="18"/>
        </w:rPr>
      </w:pPr>
      <w:r>
        <w:rPr>
          <w:b/>
          <w:sz w:val="18"/>
        </w:rPr>
        <w:t>Characteristics</w:t>
      </w:r>
      <w:r>
        <w:rPr>
          <w:b/>
          <w:spacing w:val="-6"/>
          <w:sz w:val="18"/>
        </w:rPr>
        <w:t> </w:t>
      </w:r>
      <w:r>
        <w:rPr>
          <w:b/>
          <w:sz w:val="18"/>
        </w:rPr>
        <w:t>of</w:t>
      </w:r>
      <w:r>
        <w:rPr>
          <w:b/>
          <w:spacing w:val="-5"/>
          <w:sz w:val="18"/>
        </w:rPr>
        <w:t> </w:t>
      </w:r>
      <w:r>
        <w:rPr>
          <w:b/>
          <w:sz w:val="18"/>
        </w:rPr>
        <w:t>Sample</w:t>
      </w:r>
      <w:r>
        <w:rPr>
          <w:b/>
          <w:spacing w:val="-4"/>
          <w:sz w:val="18"/>
        </w:rPr>
        <w:t> </w:t>
      </w:r>
      <w:r>
        <w:rPr>
          <w:b/>
          <w:sz w:val="18"/>
        </w:rPr>
        <w:t>by</w:t>
      </w:r>
      <w:r>
        <w:rPr>
          <w:b/>
          <w:spacing w:val="-5"/>
          <w:sz w:val="18"/>
        </w:rPr>
        <w:t> </w:t>
      </w:r>
      <w:r>
        <w:rPr>
          <w:b/>
          <w:sz w:val="18"/>
        </w:rPr>
        <w:t>Intentions</w:t>
      </w:r>
      <w:r>
        <w:rPr>
          <w:b/>
          <w:spacing w:val="-5"/>
          <w:sz w:val="18"/>
        </w:rPr>
        <w:t> </w:t>
      </w:r>
      <w:r>
        <w:rPr>
          <w:b/>
          <w:sz w:val="18"/>
        </w:rPr>
        <w:t>at</w:t>
      </w:r>
      <w:r>
        <w:rPr>
          <w:b/>
          <w:spacing w:val="-4"/>
          <w:sz w:val="18"/>
        </w:rPr>
        <w:t> </w:t>
      </w:r>
      <w:r>
        <w:rPr>
          <w:b/>
          <w:sz w:val="18"/>
        </w:rPr>
        <w:t>Post-</w:t>
      </w:r>
      <w:r>
        <w:rPr>
          <w:b/>
          <w:spacing w:val="-4"/>
          <w:sz w:val="18"/>
        </w:rPr>
        <w:t>test</w:t>
      </w:r>
    </w:p>
    <w:p>
      <w:pPr>
        <w:pStyle w:val="BodyText"/>
        <w:spacing w:line="20" w:lineRule="exact"/>
        <w:ind w:left="1725"/>
        <w:rPr>
          <w:sz w:val="2"/>
        </w:rPr>
      </w:pPr>
      <w:r>
        <w:rPr>
          <w:sz w:val="2"/>
        </w:rPr>
        <mc:AlternateContent>
          <mc:Choice Requires="wps">
            <w:drawing>
              <wp:inline distT="0" distB="0" distL="0" distR="0">
                <wp:extent cx="4057650" cy="6350"/>
                <wp:effectExtent l="0" t="0" r="0" b="0"/>
                <wp:docPr id="6" name="Group 6"/>
                <wp:cNvGraphicFramePr>
                  <a:graphicFrameLocks/>
                </wp:cNvGraphicFramePr>
                <a:graphic>
                  <a:graphicData uri="http://schemas.microsoft.com/office/word/2010/wordprocessingGroup">
                    <wpg:wgp>
                      <wpg:cNvPr id="6" name="Group 6"/>
                      <wpg:cNvGrpSpPr/>
                      <wpg:grpSpPr>
                        <a:xfrm>
                          <a:off x="0" y="0"/>
                          <a:ext cx="4057650" cy="6350"/>
                          <a:chExt cx="4057650" cy="6350"/>
                        </a:xfrm>
                      </wpg:grpSpPr>
                      <wps:wsp>
                        <wps:cNvPr id="7" name="Graphic 7"/>
                        <wps:cNvSpPr/>
                        <wps:spPr>
                          <a:xfrm>
                            <a:off x="0" y="0"/>
                            <a:ext cx="4057650" cy="6350"/>
                          </a:xfrm>
                          <a:custGeom>
                            <a:avLst/>
                            <a:gdLst/>
                            <a:ahLst/>
                            <a:cxnLst/>
                            <a:rect l="l" t="t" r="r" b="b"/>
                            <a:pathLst>
                              <a:path w="4057650" h="6350">
                                <a:moveTo>
                                  <a:pt x="4057650" y="0"/>
                                </a:moveTo>
                                <a:lnTo>
                                  <a:pt x="0" y="0"/>
                                </a:lnTo>
                                <a:lnTo>
                                  <a:pt x="0" y="6096"/>
                                </a:lnTo>
                                <a:lnTo>
                                  <a:pt x="4057650" y="6096"/>
                                </a:lnTo>
                                <a:lnTo>
                                  <a:pt x="40576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319.5pt;height:.5pt;mso-position-horizontal-relative:char;mso-position-vertical-relative:line" id="docshapegroup6" coordorigin="0,0" coordsize="6390,10">
                <v:rect style="position:absolute;left:0;top:0;width:6390;height:10" id="docshape7" filled="true" fillcolor="#000000" stroked="false">
                  <v:fill type="solid"/>
                </v:rect>
              </v:group>
            </w:pict>
          </mc:Fallback>
        </mc:AlternateContent>
      </w:r>
      <w:r>
        <w:rPr>
          <w:sz w:val="2"/>
        </w:rPr>
      </w:r>
    </w:p>
    <w:p>
      <w:pPr>
        <w:spacing w:after="0" w:line="20" w:lineRule="exact"/>
        <w:rPr>
          <w:sz w:val="2"/>
        </w:rPr>
        <w:sectPr>
          <w:pgSz w:w="12240" w:h="15840"/>
          <w:pgMar w:header="723" w:footer="1065" w:top="1340" w:bottom="1260" w:left="1200" w:right="980"/>
        </w:sectPr>
      </w:pPr>
    </w:p>
    <w:p>
      <w:pPr>
        <w:spacing w:line="192" w:lineRule="exact" w:before="0"/>
        <w:ind w:left="0" w:right="12" w:firstLine="0"/>
        <w:jc w:val="right"/>
        <w:rPr>
          <w:sz w:val="18"/>
        </w:rPr>
      </w:pPr>
      <w:r>
        <w:rPr>
          <w:sz w:val="18"/>
        </w:rPr>
        <w:t>Plan</w:t>
      </w:r>
      <w:r>
        <w:rPr>
          <w:spacing w:val="-1"/>
          <w:sz w:val="18"/>
        </w:rPr>
        <w:t> </w:t>
      </w:r>
      <w:r>
        <w:rPr>
          <w:sz w:val="18"/>
        </w:rPr>
        <w:t>to</w:t>
      </w:r>
      <w:r>
        <w:rPr>
          <w:spacing w:val="-1"/>
          <w:sz w:val="18"/>
        </w:rPr>
        <w:t> </w:t>
      </w:r>
      <w:r>
        <w:rPr>
          <w:sz w:val="18"/>
        </w:rPr>
        <w:t>talk</w:t>
      </w:r>
      <w:r>
        <w:rPr>
          <w:spacing w:val="-1"/>
          <w:sz w:val="18"/>
        </w:rPr>
        <w:t> </w:t>
      </w:r>
      <w:r>
        <w:rPr>
          <w:sz w:val="18"/>
        </w:rPr>
        <w:t>to </w:t>
      </w:r>
      <w:r>
        <w:rPr>
          <w:spacing w:val="-2"/>
          <w:sz w:val="18"/>
        </w:rPr>
        <w:t>doctor</w:t>
      </w:r>
    </w:p>
    <w:p>
      <w:pPr>
        <w:spacing w:before="0"/>
        <w:ind w:left="0" w:right="0" w:firstLine="0"/>
        <w:jc w:val="right"/>
        <w:rPr>
          <w:sz w:val="18"/>
        </w:rPr>
      </w:pPr>
      <w:r>
        <w:rPr>
          <w:sz w:val="18"/>
        </w:rPr>
        <w:t>about CRC</w:t>
      </w:r>
      <w:r>
        <w:rPr>
          <w:spacing w:val="-1"/>
          <w:sz w:val="18"/>
        </w:rPr>
        <w:t> </w:t>
      </w:r>
      <w:r>
        <w:rPr>
          <w:spacing w:val="-2"/>
          <w:sz w:val="18"/>
        </w:rPr>
        <w:t>screening</w:t>
      </w:r>
    </w:p>
    <w:p>
      <w:pPr>
        <w:spacing w:line="192" w:lineRule="exact" w:before="0"/>
        <w:ind w:left="0" w:right="1809" w:firstLine="0"/>
        <w:jc w:val="center"/>
        <w:rPr>
          <w:sz w:val="18"/>
        </w:rPr>
      </w:pPr>
      <w:r>
        <w:rPr/>
        <w:br w:type="column"/>
      </w:r>
      <w:r>
        <w:rPr>
          <w:sz w:val="18"/>
        </w:rPr>
        <w:t>Plan</w:t>
      </w:r>
      <w:r>
        <w:rPr>
          <w:spacing w:val="-2"/>
          <w:sz w:val="18"/>
        </w:rPr>
        <w:t> </w:t>
      </w:r>
      <w:r>
        <w:rPr>
          <w:sz w:val="18"/>
        </w:rPr>
        <w:t>to</w:t>
      </w:r>
      <w:r>
        <w:rPr>
          <w:spacing w:val="-1"/>
          <w:sz w:val="18"/>
        </w:rPr>
        <w:t> </w:t>
      </w:r>
      <w:r>
        <w:rPr>
          <w:sz w:val="18"/>
        </w:rPr>
        <w:t>participate</w:t>
      </w:r>
      <w:r>
        <w:rPr>
          <w:spacing w:val="-2"/>
          <w:sz w:val="18"/>
        </w:rPr>
        <w:t> </w:t>
      </w:r>
      <w:r>
        <w:rPr>
          <w:spacing w:val="-5"/>
          <w:sz w:val="18"/>
        </w:rPr>
        <w:t>in</w:t>
      </w:r>
    </w:p>
    <w:p>
      <w:pPr>
        <w:spacing w:before="0"/>
        <w:ind w:left="0" w:right="1809" w:firstLine="0"/>
        <w:jc w:val="center"/>
        <w:rPr>
          <w:sz w:val="18"/>
        </w:rPr>
      </w:pPr>
      <w:r>
        <w:rPr>
          <w:sz w:val="18"/>
        </w:rPr>
        <w:t>CRC </w:t>
      </w:r>
      <w:r>
        <w:rPr>
          <w:spacing w:val="-2"/>
          <w:sz w:val="18"/>
        </w:rPr>
        <w:t>screening</w:t>
      </w:r>
    </w:p>
    <w:p>
      <w:pPr>
        <w:spacing w:after="0"/>
        <w:jc w:val="center"/>
        <w:rPr>
          <w:sz w:val="18"/>
        </w:rPr>
        <w:sectPr>
          <w:type w:val="continuous"/>
          <w:pgSz w:w="12240" w:h="15840"/>
          <w:pgMar w:header="723" w:footer="1065" w:top="1340" w:bottom="1260" w:left="1200" w:right="980"/>
          <w:cols w:num="2" w:equalWidth="0">
            <w:col w:w="6051" w:space="40"/>
            <w:col w:w="3969"/>
          </w:cols>
        </w:sectPr>
      </w:pPr>
    </w:p>
    <w:p>
      <w:pPr>
        <w:pStyle w:val="BodyText"/>
        <w:spacing w:before="10"/>
        <w:rPr>
          <w:sz w:val="18"/>
        </w:rPr>
      </w:pPr>
    </w:p>
    <w:tbl>
      <w:tblPr>
        <w:tblW w:w="0" w:type="auto"/>
        <w:jc w:val="left"/>
        <w:tblInd w:w="17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610"/>
        <w:gridCol w:w="1198"/>
        <w:gridCol w:w="718"/>
        <w:gridCol w:w="1171"/>
        <w:gridCol w:w="691"/>
      </w:tblGrid>
      <w:tr>
        <w:trPr>
          <w:trHeight w:val="413" w:hRule="atLeast"/>
        </w:trPr>
        <w:tc>
          <w:tcPr>
            <w:tcW w:w="2610" w:type="dxa"/>
            <w:tcBorders>
              <w:bottom w:val="single" w:sz="4" w:space="0" w:color="000000"/>
            </w:tcBorders>
          </w:tcPr>
          <w:p>
            <w:pPr>
              <w:pStyle w:val="TableParagraph"/>
              <w:spacing w:line="202" w:lineRule="exact"/>
              <w:ind w:left="106"/>
              <w:rPr>
                <w:i/>
                <w:sz w:val="18"/>
              </w:rPr>
            </w:pPr>
            <w:r>
              <w:rPr>
                <w:i/>
                <w:sz w:val="18"/>
              </w:rPr>
              <w:t>Demographic </w:t>
            </w:r>
            <w:r>
              <w:rPr>
                <w:i/>
                <w:spacing w:val="-2"/>
                <w:sz w:val="18"/>
              </w:rPr>
              <w:t>Characteristics</w:t>
            </w:r>
          </w:p>
        </w:tc>
        <w:tc>
          <w:tcPr>
            <w:tcW w:w="1198" w:type="dxa"/>
            <w:tcBorders>
              <w:top w:val="single" w:sz="4" w:space="0" w:color="000000"/>
              <w:bottom w:val="single" w:sz="4" w:space="0" w:color="000000"/>
            </w:tcBorders>
          </w:tcPr>
          <w:p>
            <w:pPr>
              <w:pStyle w:val="TableParagraph"/>
              <w:spacing w:line="202" w:lineRule="exact"/>
              <w:ind w:left="381"/>
              <w:rPr>
                <w:sz w:val="18"/>
              </w:rPr>
            </w:pPr>
            <w:r>
              <w:rPr>
                <w:sz w:val="18"/>
              </w:rPr>
              <w:t>n </w:t>
            </w:r>
            <w:r>
              <w:rPr>
                <w:spacing w:val="-5"/>
                <w:sz w:val="18"/>
              </w:rPr>
              <w:t>(%)</w:t>
            </w:r>
          </w:p>
        </w:tc>
        <w:tc>
          <w:tcPr>
            <w:tcW w:w="718" w:type="dxa"/>
            <w:tcBorders>
              <w:top w:val="single" w:sz="4" w:space="0" w:color="000000"/>
              <w:bottom w:val="single" w:sz="4" w:space="0" w:color="000000"/>
            </w:tcBorders>
          </w:tcPr>
          <w:p>
            <w:pPr>
              <w:pStyle w:val="TableParagraph"/>
              <w:spacing w:line="202" w:lineRule="exact"/>
              <w:ind w:left="44" w:right="99"/>
              <w:jc w:val="center"/>
              <w:rPr>
                <w:sz w:val="18"/>
              </w:rPr>
            </w:pPr>
            <w:r>
              <w:rPr>
                <w:spacing w:val="-5"/>
                <w:sz w:val="18"/>
              </w:rPr>
              <w:t>p-</w:t>
            </w:r>
          </w:p>
          <w:p>
            <w:pPr>
              <w:pStyle w:val="TableParagraph"/>
              <w:spacing w:line="191" w:lineRule="exact"/>
              <w:ind w:left="44" w:right="100"/>
              <w:jc w:val="center"/>
              <w:rPr>
                <w:sz w:val="18"/>
              </w:rPr>
            </w:pPr>
            <w:r>
              <w:rPr>
                <w:spacing w:val="-2"/>
                <w:sz w:val="18"/>
              </w:rPr>
              <w:t>value</w:t>
            </w:r>
          </w:p>
        </w:tc>
        <w:tc>
          <w:tcPr>
            <w:tcW w:w="1171" w:type="dxa"/>
            <w:tcBorders>
              <w:top w:val="single" w:sz="4" w:space="0" w:color="000000"/>
              <w:bottom w:val="single" w:sz="4" w:space="0" w:color="000000"/>
            </w:tcBorders>
          </w:tcPr>
          <w:p>
            <w:pPr>
              <w:pStyle w:val="TableParagraph"/>
              <w:spacing w:line="202" w:lineRule="exact"/>
              <w:ind w:left="355"/>
              <w:rPr>
                <w:sz w:val="18"/>
              </w:rPr>
            </w:pPr>
            <w:r>
              <w:rPr>
                <w:sz w:val="18"/>
              </w:rPr>
              <w:t>n </w:t>
            </w:r>
            <w:r>
              <w:rPr>
                <w:spacing w:val="-5"/>
                <w:sz w:val="18"/>
              </w:rPr>
              <w:t>(%)</w:t>
            </w:r>
          </w:p>
        </w:tc>
        <w:tc>
          <w:tcPr>
            <w:tcW w:w="691" w:type="dxa"/>
            <w:tcBorders>
              <w:top w:val="single" w:sz="4" w:space="0" w:color="000000"/>
              <w:bottom w:val="single" w:sz="4" w:space="0" w:color="000000"/>
            </w:tcBorders>
          </w:tcPr>
          <w:p>
            <w:pPr>
              <w:pStyle w:val="TableParagraph"/>
              <w:spacing w:line="202" w:lineRule="exact"/>
              <w:ind w:right="26"/>
              <w:jc w:val="center"/>
              <w:rPr>
                <w:sz w:val="18"/>
              </w:rPr>
            </w:pPr>
            <w:r>
              <w:rPr>
                <w:spacing w:val="-5"/>
                <w:sz w:val="18"/>
              </w:rPr>
              <w:t>p-</w:t>
            </w:r>
          </w:p>
          <w:p>
            <w:pPr>
              <w:pStyle w:val="TableParagraph"/>
              <w:spacing w:line="191" w:lineRule="exact"/>
              <w:ind w:right="27"/>
              <w:jc w:val="center"/>
              <w:rPr>
                <w:sz w:val="18"/>
              </w:rPr>
            </w:pPr>
            <w:r>
              <w:rPr>
                <w:spacing w:val="-2"/>
                <w:sz w:val="18"/>
              </w:rPr>
              <w:t>value</w:t>
            </w:r>
          </w:p>
        </w:tc>
      </w:tr>
      <w:tr>
        <w:trPr>
          <w:trHeight w:val="206" w:hRule="atLeast"/>
        </w:trPr>
        <w:tc>
          <w:tcPr>
            <w:tcW w:w="2610" w:type="dxa"/>
            <w:tcBorders>
              <w:top w:val="single" w:sz="4" w:space="0" w:color="000000"/>
            </w:tcBorders>
          </w:tcPr>
          <w:p>
            <w:pPr>
              <w:pStyle w:val="TableParagraph"/>
              <w:spacing w:line="186" w:lineRule="exact"/>
              <w:ind w:left="106"/>
              <w:rPr>
                <w:sz w:val="18"/>
              </w:rPr>
            </w:pPr>
            <w:r>
              <w:rPr>
                <w:spacing w:val="-5"/>
                <w:sz w:val="18"/>
              </w:rPr>
              <w:t>Age</w:t>
            </w:r>
          </w:p>
        </w:tc>
        <w:tc>
          <w:tcPr>
            <w:tcW w:w="1198" w:type="dxa"/>
            <w:tcBorders>
              <w:top w:val="single" w:sz="4" w:space="0" w:color="000000"/>
            </w:tcBorders>
          </w:tcPr>
          <w:p>
            <w:pPr>
              <w:pStyle w:val="TableParagraph"/>
              <w:rPr>
                <w:sz w:val="14"/>
              </w:rPr>
            </w:pPr>
          </w:p>
        </w:tc>
        <w:tc>
          <w:tcPr>
            <w:tcW w:w="718" w:type="dxa"/>
            <w:tcBorders>
              <w:top w:val="single" w:sz="4" w:space="0" w:color="000000"/>
            </w:tcBorders>
          </w:tcPr>
          <w:p>
            <w:pPr>
              <w:pStyle w:val="TableParagraph"/>
              <w:spacing w:line="186" w:lineRule="exact"/>
              <w:ind w:left="100" w:right="56"/>
              <w:jc w:val="center"/>
              <w:rPr>
                <w:sz w:val="18"/>
              </w:rPr>
            </w:pPr>
            <w:r>
              <w:rPr>
                <w:spacing w:val="-2"/>
                <w:sz w:val="18"/>
              </w:rPr>
              <w:t>0.077</w:t>
            </w:r>
          </w:p>
        </w:tc>
        <w:tc>
          <w:tcPr>
            <w:tcW w:w="1171" w:type="dxa"/>
            <w:tcBorders>
              <w:top w:val="single" w:sz="4" w:space="0" w:color="000000"/>
            </w:tcBorders>
          </w:tcPr>
          <w:p>
            <w:pPr>
              <w:pStyle w:val="TableParagraph"/>
              <w:rPr>
                <w:sz w:val="14"/>
              </w:rPr>
            </w:pPr>
          </w:p>
        </w:tc>
        <w:tc>
          <w:tcPr>
            <w:tcW w:w="691" w:type="dxa"/>
            <w:tcBorders>
              <w:top w:val="single" w:sz="4" w:space="0" w:color="000000"/>
            </w:tcBorders>
          </w:tcPr>
          <w:p>
            <w:pPr>
              <w:pStyle w:val="TableParagraph"/>
              <w:spacing w:line="186" w:lineRule="exact"/>
              <w:ind w:left="100" w:right="27"/>
              <w:jc w:val="center"/>
              <w:rPr>
                <w:sz w:val="18"/>
              </w:rPr>
            </w:pPr>
            <w:r>
              <w:rPr>
                <w:spacing w:val="-2"/>
                <w:sz w:val="18"/>
              </w:rPr>
              <w:t>0.115</w:t>
            </w:r>
          </w:p>
        </w:tc>
      </w:tr>
      <w:tr>
        <w:trPr>
          <w:trHeight w:val="207" w:hRule="atLeast"/>
        </w:trPr>
        <w:tc>
          <w:tcPr>
            <w:tcW w:w="2610" w:type="dxa"/>
          </w:tcPr>
          <w:p>
            <w:pPr>
              <w:pStyle w:val="TableParagraph"/>
              <w:spacing w:line="187" w:lineRule="exact"/>
              <w:ind w:left="358"/>
              <w:rPr>
                <w:sz w:val="18"/>
              </w:rPr>
            </w:pPr>
            <w:r>
              <w:rPr>
                <w:sz w:val="18"/>
              </w:rPr>
              <w:t>50-</w:t>
            </w:r>
            <w:r>
              <w:rPr>
                <w:spacing w:val="-5"/>
                <w:sz w:val="18"/>
              </w:rPr>
              <w:t>59</w:t>
            </w:r>
          </w:p>
        </w:tc>
        <w:tc>
          <w:tcPr>
            <w:tcW w:w="1198" w:type="dxa"/>
          </w:tcPr>
          <w:p>
            <w:pPr>
              <w:pStyle w:val="TableParagraph"/>
              <w:spacing w:line="187" w:lineRule="exact"/>
              <w:ind w:right="134"/>
              <w:jc w:val="right"/>
              <w:rPr>
                <w:sz w:val="18"/>
              </w:rPr>
            </w:pPr>
            <w:r>
              <w:rPr>
                <w:sz w:val="18"/>
              </w:rPr>
              <w:t>64 </w:t>
            </w:r>
            <w:r>
              <w:rPr>
                <w:spacing w:val="-2"/>
                <w:sz w:val="18"/>
              </w:rPr>
              <w:t>(45.7%)</w:t>
            </w:r>
          </w:p>
        </w:tc>
        <w:tc>
          <w:tcPr>
            <w:tcW w:w="718" w:type="dxa"/>
          </w:tcPr>
          <w:p>
            <w:pPr>
              <w:pStyle w:val="TableParagraph"/>
              <w:rPr>
                <w:sz w:val="14"/>
              </w:rPr>
            </w:pPr>
          </w:p>
        </w:tc>
        <w:tc>
          <w:tcPr>
            <w:tcW w:w="1171" w:type="dxa"/>
          </w:tcPr>
          <w:p>
            <w:pPr>
              <w:pStyle w:val="TableParagraph"/>
              <w:spacing w:line="187" w:lineRule="exact"/>
              <w:ind w:right="133"/>
              <w:jc w:val="right"/>
              <w:rPr>
                <w:sz w:val="18"/>
              </w:rPr>
            </w:pPr>
            <w:r>
              <w:rPr>
                <w:sz w:val="18"/>
              </w:rPr>
              <w:t>66 </w:t>
            </w:r>
            <w:r>
              <w:rPr>
                <w:spacing w:val="-2"/>
                <w:sz w:val="18"/>
              </w:rPr>
              <w:t>(47.5%)</w:t>
            </w:r>
          </w:p>
        </w:tc>
        <w:tc>
          <w:tcPr>
            <w:tcW w:w="691" w:type="dxa"/>
          </w:tcPr>
          <w:p>
            <w:pPr>
              <w:pStyle w:val="TableParagraph"/>
              <w:rPr>
                <w:sz w:val="14"/>
              </w:rPr>
            </w:pPr>
          </w:p>
        </w:tc>
      </w:tr>
      <w:tr>
        <w:trPr>
          <w:trHeight w:val="207" w:hRule="atLeast"/>
        </w:trPr>
        <w:tc>
          <w:tcPr>
            <w:tcW w:w="2610" w:type="dxa"/>
          </w:tcPr>
          <w:p>
            <w:pPr>
              <w:pStyle w:val="TableParagraph"/>
              <w:spacing w:line="187" w:lineRule="exact"/>
              <w:ind w:left="358"/>
              <w:rPr>
                <w:sz w:val="18"/>
              </w:rPr>
            </w:pPr>
            <w:r>
              <w:rPr>
                <w:sz w:val="18"/>
              </w:rPr>
              <w:t>60-</w:t>
            </w:r>
            <w:r>
              <w:rPr>
                <w:spacing w:val="-5"/>
                <w:sz w:val="18"/>
              </w:rPr>
              <w:t>69</w:t>
            </w:r>
          </w:p>
        </w:tc>
        <w:tc>
          <w:tcPr>
            <w:tcW w:w="1198" w:type="dxa"/>
          </w:tcPr>
          <w:p>
            <w:pPr>
              <w:pStyle w:val="TableParagraph"/>
              <w:spacing w:line="187" w:lineRule="exact"/>
              <w:ind w:right="134"/>
              <w:jc w:val="right"/>
              <w:rPr>
                <w:sz w:val="18"/>
              </w:rPr>
            </w:pPr>
            <w:r>
              <w:rPr>
                <w:sz w:val="18"/>
              </w:rPr>
              <w:t>69 </w:t>
            </w:r>
            <w:r>
              <w:rPr>
                <w:spacing w:val="-2"/>
                <w:sz w:val="18"/>
              </w:rPr>
              <w:t>(49.3%)</w:t>
            </w:r>
          </w:p>
        </w:tc>
        <w:tc>
          <w:tcPr>
            <w:tcW w:w="718" w:type="dxa"/>
          </w:tcPr>
          <w:p>
            <w:pPr>
              <w:pStyle w:val="TableParagraph"/>
              <w:rPr>
                <w:sz w:val="14"/>
              </w:rPr>
            </w:pPr>
          </w:p>
        </w:tc>
        <w:tc>
          <w:tcPr>
            <w:tcW w:w="1171" w:type="dxa"/>
          </w:tcPr>
          <w:p>
            <w:pPr>
              <w:pStyle w:val="TableParagraph"/>
              <w:spacing w:line="187" w:lineRule="exact"/>
              <w:ind w:right="133"/>
              <w:jc w:val="right"/>
              <w:rPr>
                <w:sz w:val="18"/>
              </w:rPr>
            </w:pPr>
            <w:r>
              <w:rPr>
                <w:sz w:val="18"/>
              </w:rPr>
              <w:t>66 </w:t>
            </w:r>
            <w:r>
              <w:rPr>
                <w:spacing w:val="-2"/>
                <w:sz w:val="18"/>
              </w:rPr>
              <w:t>(47.5%)</w:t>
            </w:r>
          </w:p>
        </w:tc>
        <w:tc>
          <w:tcPr>
            <w:tcW w:w="691" w:type="dxa"/>
          </w:tcPr>
          <w:p>
            <w:pPr>
              <w:pStyle w:val="TableParagraph"/>
              <w:rPr>
                <w:sz w:val="14"/>
              </w:rPr>
            </w:pPr>
          </w:p>
        </w:tc>
      </w:tr>
      <w:tr>
        <w:trPr>
          <w:trHeight w:val="207" w:hRule="atLeast"/>
        </w:trPr>
        <w:tc>
          <w:tcPr>
            <w:tcW w:w="2610" w:type="dxa"/>
          </w:tcPr>
          <w:p>
            <w:pPr>
              <w:pStyle w:val="TableParagraph"/>
              <w:spacing w:line="187" w:lineRule="exact"/>
              <w:ind w:left="358"/>
              <w:rPr>
                <w:sz w:val="18"/>
              </w:rPr>
            </w:pPr>
            <w:r>
              <w:rPr>
                <w:sz w:val="18"/>
              </w:rPr>
              <w:t>70 and </w:t>
            </w:r>
            <w:r>
              <w:rPr>
                <w:spacing w:val="-2"/>
                <w:sz w:val="18"/>
              </w:rPr>
              <w:t>older</w:t>
            </w:r>
          </w:p>
        </w:tc>
        <w:tc>
          <w:tcPr>
            <w:tcW w:w="1198" w:type="dxa"/>
          </w:tcPr>
          <w:p>
            <w:pPr>
              <w:pStyle w:val="TableParagraph"/>
              <w:spacing w:line="187" w:lineRule="exact"/>
              <w:ind w:right="134"/>
              <w:jc w:val="right"/>
              <w:rPr>
                <w:sz w:val="18"/>
              </w:rPr>
            </w:pPr>
            <w:r>
              <w:rPr>
                <w:sz w:val="18"/>
              </w:rPr>
              <w:t>7 </w:t>
            </w:r>
            <w:r>
              <w:rPr>
                <w:spacing w:val="-2"/>
                <w:sz w:val="18"/>
              </w:rPr>
              <w:t>(5.0%)</w:t>
            </w:r>
          </w:p>
        </w:tc>
        <w:tc>
          <w:tcPr>
            <w:tcW w:w="718" w:type="dxa"/>
          </w:tcPr>
          <w:p>
            <w:pPr>
              <w:pStyle w:val="TableParagraph"/>
              <w:rPr>
                <w:sz w:val="14"/>
              </w:rPr>
            </w:pPr>
          </w:p>
        </w:tc>
        <w:tc>
          <w:tcPr>
            <w:tcW w:w="1171" w:type="dxa"/>
          </w:tcPr>
          <w:p>
            <w:pPr>
              <w:pStyle w:val="TableParagraph"/>
              <w:spacing w:line="187" w:lineRule="exact"/>
              <w:ind w:right="133"/>
              <w:jc w:val="right"/>
              <w:rPr>
                <w:sz w:val="18"/>
              </w:rPr>
            </w:pPr>
            <w:r>
              <w:rPr>
                <w:sz w:val="18"/>
              </w:rPr>
              <w:t>7 </w:t>
            </w:r>
            <w:r>
              <w:rPr>
                <w:spacing w:val="-2"/>
                <w:sz w:val="18"/>
              </w:rPr>
              <w:t>(5.0%)</w:t>
            </w:r>
          </w:p>
        </w:tc>
        <w:tc>
          <w:tcPr>
            <w:tcW w:w="691" w:type="dxa"/>
          </w:tcPr>
          <w:p>
            <w:pPr>
              <w:pStyle w:val="TableParagraph"/>
              <w:rPr>
                <w:sz w:val="14"/>
              </w:rPr>
            </w:pPr>
          </w:p>
        </w:tc>
      </w:tr>
      <w:tr>
        <w:trPr>
          <w:trHeight w:val="206" w:hRule="atLeast"/>
        </w:trPr>
        <w:tc>
          <w:tcPr>
            <w:tcW w:w="2610" w:type="dxa"/>
          </w:tcPr>
          <w:p>
            <w:pPr>
              <w:pStyle w:val="TableParagraph"/>
              <w:spacing w:line="187" w:lineRule="exact"/>
              <w:ind w:left="106"/>
              <w:rPr>
                <w:sz w:val="18"/>
              </w:rPr>
            </w:pPr>
            <w:r>
              <w:rPr>
                <w:spacing w:val="-2"/>
                <w:sz w:val="18"/>
              </w:rPr>
              <w:t>Education</w:t>
            </w:r>
          </w:p>
        </w:tc>
        <w:tc>
          <w:tcPr>
            <w:tcW w:w="1198" w:type="dxa"/>
          </w:tcPr>
          <w:p>
            <w:pPr>
              <w:pStyle w:val="TableParagraph"/>
              <w:rPr>
                <w:sz w:val="14"/>
              </w:rPr>
            </w:pPr>
          </w:p>
        </w:tc>
        <w:tc>
          <w:tcPr>
            <w:tcW w:w="718" w:type="dxa"/>
          </w:tcPr>
          <w:p>
            <w:pPr>
              <w:pStyle w:val="TableParagraph"/>
              <w:spacing w:line="187" w:lineRule="exact"/>
              <w:ind w:left="99" w:right="56"/>
              <w:jc w:val="center"/>
              <w:rPr>
                <w:sz w:val="18"/>
              </w:rPr>
            </w:pPr>
            <w:r>
              <w:rPr>
                <w:spacing w:val="-2"/>
                <w:sz w:val="18"/>
              </w:rPr>
              <w:t>0.287</w:t>
            </w:r>
          </w:p>
        </w:tc>
        <w:tc>
          <w:tcPr>
            <w:tcW w:w="1171" w:type="dxa"/>
          </w:tcPr>
          <w:p>
            <w:pPr>
              <w:pStyle w:val="TableParagraph"/>
              <w:rPr>
                <w:sz w:val="14"/>
              </w:rPr>
            </w:pPr>
          </w:p>
        </w:tc>
        <w:tc>
          <w:tcPr>
            <w:tcW w:w="691" w:type="dxa"/>
          </w:tcPr>
          <w:p>
            <w:pPr>
              <w:pStyle w:val="TableParagraph"/>
              <w:spacing w:line="187" w:lineRule="exact"/>
              <w:ind w:left="99" w:right="27"/>
              <w:jc w:val="center"/>
              <w:rPr>
                <w:sz w:val="18"/>
              </w:rPr>
            </w:pPr>
            <w:r>
              <w:rPr>
                <w:spacing w:val="-2"/>
                <w:sz w:val="18"/>
              </w:rPr>
              <w:t>0.091</w:t>
            </w:r>
          </w:p>
        </w:tc>
      </w:tr>
      <w:tr>
        <w:trPr>
          <w:trHeight w:val="206" w:hRule="atLeast"/>
        </w:trPr>
        <w:tc>
          <w:tcPr>
            <w:tcW w:w="2610" w:type="dxa"/>
          </w:tcPr>
          <w:p>
            <w:pPr>
              <w:pStyle w:val="TableParagraph"/>
              <w:spacing w:line="187" w:lineRule="exact"/>
              <w:ind w:left="358"/>
              <w:rPr>
                <w:sz w:val="18"/>
              </w:rPr>
            </w:pPr>
            <w:r>
              <w:rPr>
                <w:sz w:val="18"/>
              </w:rPr>
              <w:t>Less than</w:t>
            </w:r>
            <w:r>
              <w:rPr>
                <w:spacing w:val="-1"/>
                <w:sz w:val="18"/>
              </w:rPr>
              <w:t> </w:t>
            </w:r>
            <w:r>
              <w:rPr>
                <w:sz w:val="18"/>
              </w:rPr>
              <w:t>high</w:t>
            </w:r>
            <w:r>
              <w:rPr>
                <w:spacing w:val="-1"/>
                <w:sz w:val="18"/>
              </w:rPr>
              <w:t> </w:t>
            </w:r>
            <w:r>
              <w:rPr>
                <w:spacing w:val="-2"/>
                <w:sz w:val="18"/>
              </w:rPr>
              <w:t>school</w:t>
            </w:r>
          </w:p>
        </w:tc>
        <w:tc>
          <w:tcPr>
            <w:tcW w:w="1198" w:type="dxa"/>
          </w:tcPr>
          <w:p>
            <w:pPr>
              <w:pStyle w:val="TableParagraph"/>
              <w:spacing w:line="187" w:lineRule="exact"/>
              <w:ind w:right="133"/>
              <w:jc w:val="right"/>
              <w:rPr>
                <w:sz w:val="18"/>
              </w:rPr>
            </w:pPr>
            <w:r>
              <w:rPr>
                <w:sz w:val="18"/>
              </w:rPr>
              <w:t>7 </w:t>
            </w:r>
            <w:r>
              <w:rPr>
                <w:spacing w:val="-2"/>
                <w:sz w:val="18"/>
              </w:rPr>
              <w:t>(5.0%)</w:t>
            </w:r>
          </w:p>
        </w:tc>
        <w:tc>
          <w:tcPr>
            <w:tcW w:w="718" w:type="dxa"/>
          </w:tcPr>
          <w:p>
            <w:pPr>
              <w:pStyle w:val="TableParagraph"/>
              <w:rPr>
                <w:sz w:val="14"/>
              </w:rPr>
            </w:pPr>
          </w:p>
        </w:tc>
        <w:tc>
          <w:tcPr>
            <w:tcW w:w="1171" w:type="dxa"/>
          </w:tcPr>
          <w:p>
            <w:pPr>
              <w:pStyle w:val="TableParagraph"/>
              <w:spacing w:line="187" w:lineRule="exact"/>
              <w:ind w:right="132"/>
              <w:jc w:val="right"/>
              <w:rPr>
                <w:sz w:val="18"/>
              </w:rPr>
            </w:pPr>
            <w:r>
              <w:rPr>
                <w:sz w:val="18"/>
              </w:rPr>
              <w:t>7 </w:t>
            </w:r>
            <w:r>
              <w:rPr>
                <w:spacing w:val="-2"/>
                <w:sz w:val="18"/>
              </w:rPr>
              <w:t>(5.0%)</w:t>
            </w:r>
          </w:p>
        </w:tc>
        <w:tc>
          <w:tcPr>
            <w:tcW w:w="691" w:type="dxa"/>
          </w:tcPr>
          <w:p>
            <w:pPr>
              <w:pStyle w:val="TableParagraph"/>
              <w:rPr>
                <w:sz w:val="14"/>
              </w:rPr>
            </w:pPr>
          </w:p>
        </w:tc>
      </w:tr>
      <w:tr>
        <w:trPr>
          <w:trHeight w:val="207" w:hRule="atLeast"/>
        </w:trPr>
        <w:tc>
          <w:tcPr>
            <w:tcW w:w="2610" w:type="dxa"/>
          </w:tcPr>
          <w:p>
            <w:pPr>
              <w:pStyle w:val="TableParagraph"/>
              <w:spacing w:line="187" w:lineRule="exact"/>
              <w:ind w:left="358"/>
              <w:rPr>
                <w:sz w:val="18"/>
              </w:rPr>
            </w:pPr>
            <w:r>
              <w:rPr>
                <w:sz w:val="18"/>
              </w:rPr>
              <w:t>High </w:t>
            </w:r>
            <w:r>
              <w:rPr>
                <w:spacing w:val="-2"/>
                <w:sz w:val="18"/>
              </w:rPr>
              <w:t>school</w:t>
            </w:r>
          </w:p>
        </w:tc>
        <w:tc>
          <w:tcPr>
            <w:tcW w:w="1198" w:type="dxa"/>
          </w:tcPr>
          <w:p>
            <w:pPr>
              <w:pStyle w:val="TableParagraph"/>
              <w:spacing w:line="187" w:lineRule="exact"/>
              <w:ind w:right="133"/>
              <w:jc w:val="right"/>
              <w:rPr>
                <w:sz w:val="18"/>
              </w:rPr>
            </w:pPr>
            <w:r>
              <w:rPr>
                <w:sz w:val="18"/>
              </w:rPr>
              <w:t>77 </w:t>
            </w:r>
            <w:r>
              <w:rPr>
                <w:spacing w:val="-2"/>
                <w:sz w:val="18"/>
              </w:rPr>
              <w:t>(55.0%)</w:t>
            </w:r>
          </w:p>
        </w:tc>
        <w:tc>
          <w:tcPr>
            <w:tcW w:w="718" w:type="dxa"/>
          </w:tcPr>
          <w:p>
            <w:pPr>
              <w:pStyle w:val="TableParagraph"/>
              <w:rPr>
                <w:sz w:val="14"/>
              </w:rPr>
            </w:pPr>
          </w:p>
        </w:tc>
        <w:tc>
          <w:tcPr>
            <w:tcW w:w="1171" w:type="dxa"/>
          </w:tcPr>
          <w:p>
            <w:pPr>
              <w:pStyle w:val="TableParagraph"/>
              <w:spacing w:line="187" w:lineRule="exact"/>
              <w:ind w:right="133"/>
              <w:jc w:val="right"/>
              <w:rPr>
                <w:sz w:val="18"/>
              </w:rPr>
            </w:pPr>
            <w:r>
              <w:rPr>
                <w:sz w:val="18"/>
              </w:rPr>
              <w:t>74 </w:t>
            </w:r>
            <w:r>
              <w:rPr>
                <w:spacing w:val="-2"/>
                <w:sz w:val="18"/>
              </w:rPr>
              <w:t>(53.2%)</w:t>
            </w:r>
          </w:p>
        </w:tc>
        <w:tc>
          <w:tcPr>
            <w:tcW w:w="691" w:type="dxa"/>
          </w:tcPr>
          <w:p>
            <w:pPr>
              <w:pStyle w:val="TableParagraph"/>
              <w:rPr>
                <w:sz w:val="14"/>
              </w:rPr>
            </w:pPr>
          </w:p>
        </w:tc>
      </w:tr>
      <w:tr>
        <w:trPr>
          <w:trHeight w:val="203" w:hRule="atLeast"/>
        </w:trPr>
        <w:tc>
          <w:tcPr>
            <w:tcW w:w="2610" w:type="dxa"/>
          </w:tcPr>
          <w:p>
            <w:pPr>
              <w:pStyle w:val="TableParagraph"/>
              <w:spacing w:line="183" w:lineRule="exact"/>
              <w:ind w:left="358"/>
              <w:rPr>
                <w:sz w:val="18"/>
              </w:rPr>
            </w:pPr>
            <w:r>
              <w:rPr>
                <w:sz w:val="18"/>
              </w:rPr>
              <w:t>Vocational,</w:t>
            </w:r>
            <w:r>
              <w:rPr>
                <w:spacing w:val="-3"/>
                <w:sz w:val="18"/>
              </w:rPr>
              <w:t> </w:t>
            </w:r>
            <w:r>
              <w:rPr>
                <w:sz w:val="18"/>
              </w:rPr>
              <w:t>business,</w:t>
            </w:r>
            <w:r>
              <w:rPr>
                <w:spacing w:val="-2"/>
                <w:sz w:val="18"/>
              </w:rPr>
              <w:t> </w:t>
            </w:r>
            <w:r>
              <w:rPr>
                <w:sz w:val="18"/>
              </w:rPr>
              <w:t>or</w:t>
            </w:r>
            <w:r>
              <w:rPr>
                <w:spacing w:val="-1"/>
                <w:sz w:val="18"/>
              </w:rPr>
              <w:t> </w:t>
            </w:r>
            <w:r>
              <w:rPr>
                <w:spacing w:val="-2"/>
                <w:sz w:val="18"/>
              </w:rPr>
              <w:t>trade</w:t>
            </w:r>
          </w:p>
        </w:tc>
        <w:tc>
          <w:tcPr>
            <w:tcW w:w="1198" w:type="dxa"/>
          </w:tcPr>
          <w:p>
            <w:pPr>
              <w:pStyle w:val="TableParagraph"/>
              <w:spacing w:line="183" w:lineRule="exact"/>
              <w:ind w:right="134"/>
              <w:jc w:val="right"/>
              <w:rPr>
                <w:sz w:val="18"/>
              </w:rPr>
            </w:pPr>
            <w:r>
              <w:rPr>
                <w:sz w:val="18"/>
              </w:rPr>
              <w:t>8 </w:t>
            </w:r>
            <w:r>
              <w:rPr>
                <w:spacing w:val="-2"/>
                <w:sz w:val="18"/>
              </w:rPr>
              <w:t>(5.7%)</w:t>
            </w:r>
          </w:p>
        </w:tc>
        <w:tc>
          <w:tcPr>
            <w:tcW w:w="718" w:type="dxa"/>
          </w:tcPr>
          <w:p>
            <w:pPr>
              <w:pStyle w:val="TableParagraph"/>
              <w:rPr>
                <w:sz w:val="14"/>
              </w:rPr>
            </w:pPr>
          </w:p>
        </w:tc>
        <w:tc>
          <w:tcPr>
            <w:tcW w:w="1171" w:type="dxa"/>
          </w:tcPr>
          <w:p>
            <w:pPr>
              <w:pStyle w:val="TableParagraph"/>
              <w:spacing w:line="183" w:lineRule="exact"/>
              <w:ind w:right="133"/>
              <w:jc w:val="right"/>
              <w:rPr>
                <w:sz w:val="18"/>
              </w:rPr>
            </w:pPr>
            <w:r>
              <w:rPr>
                <w:sz w:val="18"/>
              </w:rPr>
              <w:t>9 </w:t>
            </w:r>
            <w:r>
              <w:rPr>
                <w:spacing w:val="-2"/>
                <w:sz w:val="18"/>
              </w:rPr>
              <w:t>(7.4%)</w:t>
            </w:r>
          </w:p>
        </w:tc>
        <w:tc>
          <w:tcPr>
            <w:tcW w:w="691" w:type="dxa"/>
          </w:tcPr>
          <w:p>
            <w:pPr>
              <w:pStyle w:val="TableParagraph"/>
              <w:rPr>
                <w:sz w:val="14"/>
              </w:rPr>
            </w:pPr>
          </w:p>
        </w:tc>
      </w:tr>
      <w:tr>
        <w:trPr>
          <w:trHeight w:val="417" w:hRule="atLeast"/>
        </w:trPr>
        <w:tc>
          <w:tcPr>
            <w:tcW w:w="2610" w:type="dxa"/>
          </w:tcPr>
          <w:p>
            <w:pPr>
              <w:pStyle w:val="TableParagraph"/>
              <w:spacing w:line="206" w:lineRule="exact"/>
              <w:ind w:left="106"/>
              <w:rPr>
                <w:sz w:val="18"/>
              </w:rPr>
            </w:pPr>
            <w:r>
              <w:rPr>
                <w:spacing w:val="-2"/>
                <w:sz w:val="18"/>
              </w:rPr>
              <w:t>school</w:t>
            </w:r>
          </w:p>
          <w:p>
            <w:pPr>
              <w:pStyle w:val="TableParagraph"/>
              <w:spacing w:line="191" w:lineRule="exact"/>
              <w:ind w:left="358"/>
              <w:rPr>
                <w:sz w:val="18"/>
              </w:rPr>
            </w:pPr>
            <w:r>
              <w:rPr>
                <w:sz w:val="18"/>
              </w:rPr>
              <w:t>Some </w:t>
            </w:r>
            <w:r>
              <w:rPr>
                <w:spacing w:val="-2"/>
                <w:sz w:val="18"/>
              </w:rPr>
              <w:t>college</w:t>
            </w:r>
          </w:p>
        </w:tc>
        <w:tc>
          <w:tcPr>
            <w:tcW w:w="1198" w:type="dxa"/>
          </w:tcPr>
          <w:p>
            <w:pPr>
              <w:pStyle w:val="TableParagraph"/>
              <w:rPr>
                <w:sz w:val="18"/>
              </w:rPr>
            </w:pPr>
          </w:p>
          <w:p>
            <w:pPr>
              <w:pStyle w:val="TableParagraph"/>
              <w:spacing w:line="191" w:lineRule="exact"/>
              <w:ind w:right="133"/>
              <w:jc w:val="right"/>
              <w:rPr>
                <w:sz w:val="18"/>
              </w:rPr>
            </w:pPr>
            <w:r>
              <w:rPr>
                <w:sz w:val="18"/>
              </w:rPr>
              <w:t>48 </w:t>
            </w:r>
            <w:r>
              <w:rPr>
                <w:spacing w:val="-2"/>
                <w:sz w:val="18"/>
              </w:rPr>
              <w:t>(34.3%)</w:t>
            </w:r>
          </w:p>
        </w:tc>
        <w:tc>
          <w:tcPr>
            <w:tcW w:w="718" w:type="dxa"/>
          </w:tcPr>
          <w:p>
            <w:pPr>
              <w:pStyle w:val="TableParagraph"/>
              <w:rPr>
                <w:sz w:val="18"/>
              </w:rPr>
            </w:pPr>
          </w:p>
        </w:tc>
        <w:tc>
          <w:tcPr>
            <w:tcW w:w="1171" w:type="dxa"/>
          </w:tcPr>
          <w:p>
            <w:pPr>
              <w:pStyle w:val="TableParagraph"/>
              <w:rPr>
                <w:sz w:val="18"/>
              </w:rPr>
            </w:pPr>
          </w:p>
          <w:p>
            <w:pPr>
              <w:pStyle w:val="TableParagraph"/>
              <w:spacing w:line="191" w:lineRule="exact"/>
              <w:ind w:right="132"/>
              <w:jc w:val="right"/>
              <w:rPr>
                <w:sz w:val="18"/>
              </w:rPr>
            </w:pPr>
            <w:r>
              <w:rPr>
                <w:sz w:val="18"/>
              </w:rPr>
              <w:t>49 </w:t>
            </w:r>
            <w:r>
              <w:rPr>
                <w:spacing w:val="-2"/>
                <w:sz w:val="18"/>
              </w:rPr>
              <w:t>(35.3%)</w:t>
            </w:r>
          </w:p>
        </w:tc>
        <w:tc>
          <w:tcPr>
            <w:tcW w:w="691" w:type="dxa"/>
          </w:tcPr>
          <w:p>
            <w:pPr>
              <w:pStyle w:val="TableParagraph"/>
              <w:rPr>
                <w:sz w:val="18"/>
              </w:rPr>
            </w:pPr>
          </w:p>
        </w:tc>
      </w:tr>
      <w:tr>
        <w:trPr>
          <w:trHeight w:val="206" w:hRule="atLeast"/>
        </w:trPr>
        <w:tc>
          <w:tcPr>
            <w:tcW w:w="2610" w:type="dxa"/>
          </w:tcPr>
          <w:p>
            <w:pPr>
              <w:pStyle w:val="TableParagraph"/>
              <w:spacing w:line="187" w:lineRule="exact"/>
              <w:ind w:left="106"/>
              <w:rPr>
                <w:sz w:val="18"/>
              </w:rPr>
            </w:pPr>
            <w:r>
              <w:rPr>
                <w:spacing w:val="-2"/>
                <w:sz w:val="18"/>
              </w:rPr>
              <w:t>Gender</w:t>
            </w:r>
          </w:p>
        </w:tc>
        <w:tc>
          <w:tcPr>
            <w:tcW w:w="1198" w:type="dxa"/>
          </w:tcPr>
          <w:p>
            <w:pPr>
              <w:pStyle w:val="TableParagraph"/>
              <w:rPr>
                <w:sz w:val="14"/>
              </w:rPr>
            </w:pPr>
          </w:p>
        </w:tc>
        <w:tc>
          <w:tcPr>
            <w:tcW w:w="718" w:type="dxa"/>
          </w:tcPr>
          <w:p>
            <w:pPr>
              <w:pStyle w:val="TableParagraph"/>
              <w:spacing w:line="187" w:lineRule="exact"/>
              <w:ind w:left="100" w:right="56"/>
              <w:jc w:val="center"/>
              <w:rPr>
                <w:sz w:val="18"/>
              </w:rPr>
            </w:pPr>
            <w:r>
              <w:rPr>
                <w:spacing w:val="-2"/>
                <w:sz w:val="18"/>
              </w:rPr>
              <w:t>0.700</w:t>
            </w:r>
          </w:p>
        </w:tc>
        <w:tc>
          <w:tcPr>
            <w:tcW w:w="1171" w:type="dxa"/>
          </w:tcPr>
          <w:p>
            <w:pPr>
              <w:pStyle w:val="TableParagraph"/>
              <w:rPr>
                <w:sz w:val="14"/>
              </w:rPr>
            </w:pPr>
          </w:p>
        </w:tc>
        <w:tc>
          <w:tcPr>
            <w:tcW w:w="691" w:type="dxa"/>
          </w:tcPr>
          <w:p>
            <w:pPr>
              <w:pStyle w:val="TableParagraph"/>
              <w:spacing w:line="187" w:lineRule="exact"/>
              <w:ind w:left="99" w:right="27"/>
              <w:jc w:val="center"/>
              <w:rPr>
                <w:sz w:val="18"/>
              </w:rPr>
            </w:pPr>
            <w:r>
              <w:rPr>
                <w:spacing w:val="-2"/>
                <w:sz w:val="18"/>
              </w:rPr>
              <w:t>0.044</w:t>
            </w:r>
          </w:p>
        </w:tc>
      </w:tr>
      <w:tr>
        <w:trPr>
          <w:trHeight w:val="206" w:hRule="atLeast"/>
        </w:trPr>
        <w:tc>
          <w:tcPr>
            <w:tcW w:w="2610" w:type="dxa"/>
          </w:tcPr>
          <w:p>
            <w:pPr>
              <w:pStyle w:val="TableParagraph"/>
              <w:spacing w:line="187" w:lineRule="exact"/>
              <w:ind w:left="358"/>
              <w:rPr>
                <w:sz w:val="18"/>
              </w:rPr>
            </w:pPr>
            <w:r>
              <w:rPr>
                <w:spacing w:val="-2"/>
                <w:sz w:val="18"/>
              </w:rPr>
              <w:t>Female</w:t>
            </w:r>
          </w:p>
        </w:tc>
        <w:tc>
          <w:tcPr>
            <w:tcW w:w="1198" w:type="dxa"/>
          </w:tcPr>
          <w:p>
            <w:pPr>
              <w:pStyle w:val="TableParagraph"/>
              <w:spacing w:line="187" w:lineRule="exact"/>
              <w:ind w:right="133"/>
              <w:jc w:val="right"/>
              <w:rPr>
                <w:sz w:val="18"/>
              </w:rPr>
            </w:pPr>
            <w:r>
              <w:rPr>
                <w:sz w:val="18"/>
              </w:rPr>
              <w:t>128 </w:t>
            </w:r>
            <w:r>
              <w:rPr>
                <w:spacing w:val="-2"/>
                <w:sz w:val="18"/>
              </w:rPr>
              <w:t>(91.4%)</w:t>
            </w:r>
          </w:p>
        </w:tc>
        <w:tc>
          <w:tcPr>
            <w:tcW w:w="718" w:type="dxa"/>
          </w:tcPr>
          <w:p>
            <w:pPr>
              <w:pStyle w:val="TableParagraph"/>
              <w:rPr>
                <w:sz w:val="14"/>
              </w:rPr>
            </w:pPr>
          </w:p>
        </w:tc>
        <w:tc>
          <w:tcPr>
            <w:tcW w:w="1171" w:type="dxa"/>
          </w:tcPr>
          <w:p>
            <w:pPr>
              <w:pStyle w:val="TableParagraph"/>
              <w:spacing w:line="187" w:lineRule="exact"/>
              <w:ind w:right="134"/>
              <w:jc w:val="right"/>
              <w:rPr>
                <w:sz w:val="18"/>
              </w:rPr>
            </w:pPr>
            <w:r>
              <w:rPr>
                <w:sz w:val="18"/>
              </w:rPr>
              <w:t>130 </w:t>
            </w:r>
            <w:r>
              <w:rPr>
                <w:spacing w:val="-2"/>
                <w:sz w:val="18"/>
              </w:rPr>
              <w:t>(93.5%)</w:t>
            </w:r>
          </w:p>
        </w:tc>
        <w:tc>
          <w:tcPr>
            <w:tcW w:w="691" w:type="dxa"/>
          </w:tcPr>
          <w:p>
            <w:pPr>
              <w:pStyle w:val="TableParagraph"/>
              <w:rPr>
                <w:sz w:val="14"/>
              </w:rPr>
            </w:pPr>
          </w:p>
        </w:tc>
      </w:tr>
      <w:tr>
        <w:trPr>
          <w:trHeight w:val="207" w:hRule="atLeast"/>
        </w:trPr>
        <w:tc>
          <w:tcPr>
            <w:tcW w:w="2610" w:type="dxa"/>
          </w:tcPr>
          <w:p>
            <w:pPr>
              <w:pStyle w:val="TableParagraph"/>
              <w:spacing w:line="187" w:lineRule="exact"/>
              <w:ind w:left="358"/>
              <w:rPr>
                <w:sz w:val="18"/>
              </w:rPr>
            </w:pPr>
            <w:r>
              <w:rPr>
                <w:spacing w:val="-4"/>
                <w:sz w:val="18"/>
              </w:rPr>
              <w:t>Male</w:t>
            </w:r>
          </w:p>
        </w:tc>
        <w:tc>
          <w:tcPr>
            <w:tcW w:w="1198" w:type="dxa"/>
          </w:tcPr>
          <w:p>
            <w:pPr>
              <w:pStyle w:val="TableParagraph"/>
              <w:spacing w:line="187" w:lineRule="exact"/>
              <w:ind w:right="133"/>
              <w:jc w:val="right"/>
              <w:rPr>
                <w:sz w:val="18"/>
              </w:rPr>
            </w:pPr>
            <w:r>
              <w:rPr>
                <w:sz w:val="18"/>
              </w:rPr>
              <w:t>12 </w:t>
            </w:r>
            <w:r>
              <w:rPr>
                <w:spacing w:val="-2"/>
                <w:sz w:val="18"/>
              </w:rPr>
              <w:t>(8.6%)</w:t>
            </w:r>
          </w:p>
        </w:tc>
        <w:tc>
          <w:tcPr>
            <w:tcW w:w="718" w:type="dxa"/>
          </w:tcPr>
          <w:p>
            <w:pPr>
              <w:pStyle w:val="TableParagraph"/>
              <w:rPr>
                <w:sz w:val="14"/>
              </w:rPr>
            </w:pPr>
          </w:p>
        </w:tc>
        <w:tc>
          <w:tcPr>
            <w:tcW w:w="1171" w:type="dxa"/>
          </w:tcPr>
          <w:p>
            <w:pPr>
              <w:pStyle w:val="TableParagraph"/>
              <w:spacing w:line="187" w:lineRule="exact"/>
              <w:ind w:right="133"/>
              <w:jc w:val="right"/>
              <w:rPr>
                <w:sz w:val="18"/>
              </w:rPr>
            </w:pPr>
            <w:r>
              <w:rPr>
                <w:sz w:val="18"/>
              </w:rPr>
              <w:t>9 </w:t>
            </w:r>
            <w:r>
              <w:rPr>
                <w:spacing w:val="-2"/>
                <w:sz w:val="18"/>
              </w:rPr>
              <w:t>(6.5%)</w:t>
            </w:r>
          </w:p>
        </w:tc>
        <w:tc>
          <w:tcPr>
            <w:tcW w:w="691" w:type="dxa"/>
          </w:tcPr>
          <w:p>
            <w:pPr>
              <w:pStyle w:val="TableParagraph"/>
              <w:rPr>
                <w:sz w:val="14"/>
              </w:rPr>
            </w:pPr>
          </w:p>
        </w:tc>
      </w:tr>
      <w:tr>
        <w:trPr>
          <w:trHeight w:val="207" w:hRule="atLeast"/>
        </w:trPr>
        <w:tc>
          <w:tcPr>
            <w:tcW w:w="2610" w:type="dxa"/>
          </w:tcPr>
          <w:p>
            <w:pPr>
              <w:pStyle w:val="TableParagraph"/>
              <w:spacing w:line="187" w:lineRule="exact"/>
              <w:ind w:left="106"/>
              <w:rPr>
                <w:sz w:val="18"/>
              </w:rPr>
            </w:pPr>
            <w:r>
              <w:rPr>
                <w:spacing w:val="-2"/>
                <w:sz w:val="18"/>
              </w:rPr>
              <w:t>Race/Ethnicity</w:t>
            </w:r>
          </w:p>
        </w:tc>
        <w:tc>
          <w:tcPr>
            <w:tcW w:w="1198" w:type="dxa"/>
          </w:tcPr>
          <w:p>
            <w:pPr>
              <w:pStyle w:val="TableParagraph"/>
              <w:rPr>
                <w:sz w:val="14"/>
              </w:rPr>
            </w:pPr>
          </w:p>
        </w:tc>
        <w:tc>
          <w:tcPr>
            <w:tcW w:w="718" w:type="dxa"/>
          </w:tcPr>
          <w:p>
            <w:pPr>
              <w:pStyle w:val="TableParagraph"/>
              <w:spacing w:line="187" w:lineRule="exact"/>
              <w:ind w:left="100" w:right="56"/>
              <w:jc w:val="center"/>
              <w:rPr>
                <w:sz w:val="18"/>
              </w:rPr>
            </w:pPr>
            <w:r>
              <w:rPr>
                <w:spacing w:val="-2"/>
                <w:sz w:val="18"/>
              </w:rPr>
              <w:t>0.111</w:t>
            </w:r>
          </w:p>
        </w:tc>
        <w:tc>
          <w:tcPr>
            <w:tcW w:w="1171" w:type="dxa"/>
          </w:tcPr>
          <w:p>
            <w:pPr>
              <w:pStyle w:val="TableParagraph"/>
              <w:rPr>
                <w:sz w:val="14"/>
              </w:rPr>
            </w:pPr>
          </w:p>
        </w:tc>
        <w:tc>
          <w:tcPr>
            <w:tcW w:w="691" w:type="dxa"/>
          </w:tcPr>
          <w:p>
            <w:pPr>
              <w:pStyle w:val="TableParagraph"/>
              <w:spacing w:line="187" w:lineRule="exact"/>
              <w:ind w:left="99" w:right="27"/>
              <w:jc w:val="center"/>
              <w:rPr>
                <w:sz w:val="18"/>
              </w:rPr>
            </w:pPr>
            <w:r>
              <w:rPr>
                <w:spacing w:val="-2"/>
                <w:sz w:val="18"/>
              </w:rPr>
              <w:t>0.100</w:t>
            </w:r>
          </w:p>
        </w:tc>
      </w:tr>
      <w:tr>
        <w:trPr>
          <w:trHeight w:val="207" w:hRule="atLeast"/>
        </w:trPr>
        <w:tc>
          <w:tcPr>
            <w:tcW w:w="2610" w:type="dxa"/>
          </w:tcPr>
          <w:p>
            <w:pPr>
              <w:pStyle w:val="TableParagraph"/>
              <w:spacing w:line="187" w:lineRule="exact"/>
              <w:ind w:left="358"/>
              <w:rPr>
                <w:sz w:val="18"/>
              </w:rPr>
            </w:pPr>
            <w:r>
              <w:rPr>
                <w:spacing w:val="-2"/>
                <w:sz w:val="18"/>
              </w:rPr>
              <w:t>Chamorro</w:t>
            </w:r>
          </w:p>
        </w:tc>
        <w:tc>
          <w:tcPr>
            <w:tcW w:w="1198" w:type="dxa"/>
          </w:tcPr>
          <w:p>
            <w:pPr>
              <w:pStyle w:val="TableParagraph"/>
              <w:spacing w:line="187" w:lineRule="exact"/>
              <w:ind w:right="133"/>
              <w:jc w:val="right"/>
              <w:rPr>
                <w:sz w:val="18"/>
              </w:rPr>
            </w:pPr>
            <w:r>
              <w:rPr>
                <w:sz w:val="18"/>
              </w:rPr>
              <w:t>128 </w:t>
            </w:r>
            <w:r>
              <w:rPr>
                <w:spacing w:val="-2"/>
                <w:sz w:val="18"/>
              </w:rPr>
              <w:t>(91.4%)</w:t>
            </w:r>
          </w:p>
        </w:tc>
        <w:tc>
          <w:tcPr>
            <w:tcW w:w="718" w:type="dxa"/>
          </w:tcPr>
          <w:p>
            <w:pPr>
              <w:pStyle w:val="TableParagraph"/>
              <w:rPr>
                <w:sz w:val="14"/>
              </w:rPr>
            </w:pPr>
          </w:p>
        </w:tc>
        <w:tc>
          <w:tcPr>
            <w:tcW w:w="1171" w:type="dxa"/>
          </w:tcPr>
          <w:p>
            <w:pPr>
              <w:pStyle w:val="TableParagraph"/>
              <w:spacing w:line="187" w:lineRule="exact"/>
              <w:ind w:right="133"/>
              <w:jc w:val="right"/>
              <w:rPr>
                <w:sz w:val="18"/>
              </w:rPr>
            </w:pPr>
            <w:r>
              <w:rPr>
                <w:sz w:val="18"/>
              </w:rPr>
              <w:t>127 </w:t>
            </w:r>
            <w:r>
              <w:rPr>
                <w:spacing w:val="-2"/>
                <w:sz w:val="18"/>
              </w:rPr>
              <w:t>(91.4%)</w:t>
            </w:r>
          </w:p>
        </w:tc>
        <w:tc>
          <w:tcPr>
            <w:tcW w:w="691" w:type="dxa"/>
          </w:tcPr>
          <w:p>
            <w:pPr>
              <w:pStyle w:val="TableParagraph"/>
              <w:rPr>
                <w:sz w:val="14"/>
              </w:rPr>
            </w:pPr>
          </w:p>
        </w:tc>
      </w:tr>
      <w:tr>
        <w:trPr>
          <w:trHeight w:val="206" w:hRule="atLeast"/>
        </w:trPr>
        <w:tc>
          <w:tcPr>
            <w:tcW w:w="2610" w:type="dxa"/>
          </w:tcPr>
          <w:p>
            <w:pPr>
              <w:pStyle w:val="TableParagraph"/>
              <w:spacing w:line="187" w:lineRule="exact"/>
              <w:ind w:left="358"/>
              <w:rPr>
                <w:sz w:val="18"/>
              </w:rPr>
            </w:pPr>
            <w:r>
              <w:rPr>
                <w:spacing w:val="-2"/>
                <w:sz w:val="18"/>
              </w:rPr>
              <w:t>Samoan</w:t>
            </w:r>
          </w:p>
        </w:tc>
        <w:tc>
          <w:tcPr>
            <w:tcW w:w="1198" w:type="dxa"/>
          </w:tcPr>
          <w:p>
            <w:pPr>
              <w:pStyle w:val="TableParagraph"/>
              <w:spacing w:line="187" w:lineRule="exact"/>
              <w:ind w:right="133"/>
              <w:jc w:val="right"/>
              <w:rPr>
                <w:sz w:val="18"/>
              </w:rPr>
            </w:pPr>
            <w:r>
              <w:rPr>
                <w:sz w:val="18"/>
              </w:rPr>
              <w:t>7 </w:t>
            </w:r>
            <w:r>
              <w:rPr>
                <w:spacing w:val="-2"/>
                <w:sz w:val="18"/>
              </w:rPr>
              <w:t>(5.0%)</w:t>
            </w:r>
          </w:p>
        </w:tc>
        <w:tc>
          <w:tcPr>
            <w:tcW w:w="718" w:type="dxa"/>
          </w:tcPr>
          <w:p>
            <w:pPr>
              <w:pStyle w:val="TableParagraph"/>
              <w:rPr>
                <w:sz w:val="14"/>
              </w:rPr>
            </w:pPr>
          </w:p>
        </w:tc>
        <w:tc>
          <w:tcPr>
            <w:tcW w:w="1171" w:type="dxa"/>
          </w:tcPr>
          <w:p>
            <w:pPr>
              <w:pStyle w:val="TableParagraph"/>
              <w:spacing w:line="187" w:lineRule="exact"/>
              <w:ind w:right="133"/>
              <w:jc w:val="right"/>
              <w:rPr>
                <w:sz w:val="18"/>
              </w:rPr>
            </w:pPr>
            <w:r>
              <w:rPr>
                <w:sz w:val="18"/>
              </w:rPr>
              <w:t>7 </w:t>
            </w:r>
            <w:r>
              <w:rPr>
                <w:spacing w:val="-2"/>
                <w:sz w:val="18"/>
              </w:rPr>
              <w:t>(5.0%)</w:t>
            </w:r>
          </w:p>
        </w:tc>
        <w:tc>
          <w:tcPr>
            <w:tcW w:w="691" w:type="dxa"/>
          </w:tcPr>
          <w:p>
            <w:pPr>
              <w:pStyle w:val="TableParagraph"/>
              <w:rPr>
                <w:sz w:val="14"/>
              </w:rPr>
            </w:pPr>
          </w:p>
        </w:tc>
      </w:tr>
      <w:tr>
        <w:trPr>
          <w:trHeight w:val="206" w:hRule="atLeast"/>
        </w:trPr>
        <w:tc>
          <w:tcPr>
            <w:tcW w:w="2610" w:type="dxa"/>
          </w:tcPr>
          <w:p>
            <w:pPr>
              <w:pStyle w:val="TableParagraph"/>
              <w:spacing w:line="187" w:lineRule="exact"/>
              <w:ind w:left="358"/>
              <w:rPr>
                <w:sz w:val="18"/>
              </w:rPr>
            </w:pPr>
            <w:r>
              <w:rPr>
                <w:spacing w:val="-2"/>
                <w:sz w:val="18"/>
              </w:rPr>
              <w:t>Tongan</w:t>
            </w:r>
          </w:p>
        </w:tc>
        <w:tc>
          <w:tcPr>
            <w:tcW w:w="1198" w:type="dxa"/>
          </w:tcPr>
          <w:p>
            <w:pPr>
              <w:pStyle w:val="TableParagraph"/>
              <w:spacing w:line="187" w:lineRule="exact"/>
              <w:ind w:right="134"/>
              <w:jc w:val="right"/>
              <w:rPr>
                <w:sz w:val="18"/>
              </w:rPr>
            </w:pPr>
            <w:r>
              <w:rPr>
                <w:sz w:val="18"/>
              </w:rPr>
              <w:t>5 </w:t>
            </w:r>
            <w:r>
              <w:rPr>
                <w:spacing w:val="-2"/>
                <w:sz w:val="18"/>
              </w:rPr>
              <w:t>(3.6%)</w:t>
            </w:r>
          </w:p>
        </w:tc>
        <w:tc>
          <w:tcPr>
            <w:tcW w:w="718" w:type="dxa"/>
          </w:tcPr>
          <w:p>
            <w:pPr>
              <w:pStyle w:val="TableParagraph"/>
              <w:rPr>
                <w:sz w:val="14"/>
              </w:rPr>
            </w:pPr>
          </w:p>
        </w:tc>
        <w:tc>
          <w:tcPr>
            <w:tcW w:w="1171" w:type="dxa"/>
          </w:tcPr>
          <w:p>
            <w:pPr>
              <w:pStyle w:val="TableParagraph"/>
              <w:spacing w:line="187" w:lineRule="exact"/>
              <w:ind w:right="133"/>
              <w:jc w:val="right"/>
              <w:rPr>
                <w:sz w:val="18"/>
              </w:rPr>
            </w:pPr>
            <w:r>
              <w:rPr>
                <w:sz w:val="18"/>
              </w:rPr>
              <w:t>5 </w:t>
            </w:r>
            <w:r>
              <w:rPr>
                <w:spacing w:val="-2"/>
                <w:sz w:val="18"/>
              </w:rPr>
              <w:t>(3.6%)</w:t>
            </w:r>
          </w:p>
        </w:tc>
        <w:tc>
          <w:tcPr>
            <w:tcW w:w="691" w:type="dxa"/>
          </w:tcPr>
          <w:p>
            <w:pPr>
              <w:pStyle w:val="TableParagraph"/>
              <w:rPr>
                <w:sz w:val="14"/>
              </w:rPr>
            </w:pPr>
          </w:p>
        </w:tc>
      </w:tr>
      <w:tr>
        <w:trPr>
          <w:trHeight w:val="207" w:hRule="atLeast"/>
        </w:trPr>
        <w:tc>
          <w:tcPr>
            <w:tcW w:w="2610" w:type="dxa"/>
          </w:tcPr>
          <w:p>
            <w:pPr>
              <w:pStyle w:val="TableParagraph"/>
              <w:spacing w:line="187" w:lineRule="exact"/>
              <w:ind w:left="106"/>
              <w:rPr>
                <w:sz w:val="18"/>
              </w:rPr>
            </w:pPr>
            <w:r>
              <w:rPr>
                <w:spacing w:val="-2"/>
                <w:sz w:val="18"/>
              </w:rPr>
              <w:t>Birthplace</w:t>
            </w:r>
          </w:p>
        </w:tc>
        <w:tc>
          <w:tcPr>
            <w:tcW w:w="1198" w:type="dxa"/>
          </w:tcPr>
          <w:p>
            <w:pPr>
              <w:pStyle w:val="TableParagraph"/>
              <w:rPr>
                <w:sz w:val="14"/>
              </w:rPr>
            </w:pPr>
          </w:p>
        </w:tc>
        <w:tc>
          <w:tcPr>
            <w:tcW w:w="718" w:type="dxa"/>
          </w:tcPr>
          <w:p>
            <w:pPr>
              <w:pStyle w:val="TableParagraph"/>
              <w:spacing w:line="187" w:lineRule="exact"/>
              <w:ind w:left="100" w:right="56"/>
              <w:jc w:val="center"/>
              <w:rPr>
                <w:sz w:val="18"/>
              </w:rPr>
            </w:pPr>
            <w:r>
              <w:rPr>
                <w:spacing w:val="-2"/>
                <w:sz w:val="18"/>
              </w:rPr>
              <w:t>0.001</w:t>
            </w:r>
          </w:p>
        </w:tc>
        <w:tc>
          <w:tcPr>
            <w:tcW w:w="1171" w:type="dxa"/>
          </w:tcPr>
          <w:p>
            <w:pPr>
              <w:pStyle w:val="TableParagraph"/>
              <w:rPr>
                <w:sz w:val="14"/>
              </w:rPr>
            </w:pPr>
          </w:p>
        </w:tc>
        <w:tc>
          <w:tcPr>
            <w:tcW w:w="691" w:type="dxa"/>
          </w:tcPr>
          <w:p>
            <w:pPr>
              <w:pStyle w:val="TableParagraph"/>
              <w:spacing w:line="187" w:lineRule="exact"/>
              <w:ind w:left="99" w:right="27"/>
              <w:jc w:val="center"/>
              <w:rPr>
                <w:sz w:val="18"/>
              </w:rPr>
            </w:pPr>
            <w:r>
              <w:rPr>
                <w:spacing w:val="-2"/>
                <w:sz w:val="18"/>
              </w:rPr>
              <w:t>0.001</w:t>
            </w:r>
          </w:p>
        </w:tc>
      </w:tr>
      <w:tr>
        <w:trPr>
          <w:trHeight w:val="207" w:hRule="atLeast"/>
        </w:trPr>
        <w:tc>
          <w:tcPr>
            <w:tcW w:w="2610" w:type="dxa"/>
          </w:tcPr>
          <w:p>
            <w:pPr>
              <w:pStyle w:val="TableParagraph"/>
              <w:spacing w:line="187" w:lineRule="exact"/>
              <w:ind w:left="358"/>
              <w:rPr>
                <w:sz w:val="18"/>
              </w:rPr>
            </w:pPr>
            <w:r>
              <w:rPr>
                <w:sz w:val="18"/>
              </w:rPr>
              <w:t>United </w:t>
            </w:r>
            <w:r>
              <w:rPr>
                <w:spacing w:val="-2"/>
                <w:sz w:val="18"/>
              </w:rPr>
              <w:t>States</w:t>
            </w:r>
          </w:p>
        </w:tc>
        <w:tc>
          <w:tcPr>
            <w:tcW w:w="1198" w:type="dxa"/>
          </w:tcPr>
          <w:p>
            <w:pPr>
              <w:pStyle w:val="TableParagraph"/>
              <w:spacing w:line="187" w:lineRule="exact"/>
              <w:ind w:right="133"/>
              <w:jc w:val="right"/>
              <w:rPr>
                <w:sz w:val="18"/>
              </w:rPr>
            </w:pPr>
            <w:r>
              <w:rPr>
                <w:sz w:val="18"/>
              </w:rPr>
              <w:t>2 </w:t>
            </w:r>
            <w:r>
              <w:rPr>
                <w:spacing w:val="-2"/>
                <w:sz w:val="18"/>
              </w:rPr>
              <w:t>(1.4%)</w:t>
            </w:r>
          </w:p>
        </w:tc>
        <w:tc>
          <w:tcPr>
            <w:tcW w:w="718" w:type="dxa"/>
          </w:tcPr>
          <w:p>
            <w:pPr>
              <w:pStyle w:val="TableParagraph"/>
              <w:rPr>
                <w:sz w:val="14"/>
              </w:rPr>
            </w:pPr>
          </w:p>
        </w:tc>
        <w:tc>
          <w:tcPr>
            <w:tcW w:w="1171" w:type="dxa"/>
          </w:tcPr>
          <w:p>
            <w:pPr>
              <w:pStyle w:val="TableParagraph"/>
              <w:spacing w:line="187" w:lineRule="exact"/>
              <w:ind w:right="132"/>
              <w:jc w:val="right"/>
              <w:rPr>
                <w:sz w:val="18"/>
              </w:rPr>
            </w:pPr>
            <w:r>
              <w:rPr>
                <w:sz w:val="18"/>
              </w:rPr>
              <w:t>2 </w:t>
            </w:r>
            <w:r>
              <w:rPr>
                <w:spacing w:val="-2"/>
                <w:sz w:val="18"/>
              </w:rPr>
              <w:t>(1.4%)</w:t>
            </w:r>
          </w:p>
        </w:tc>
        <w:tc>
          <w:tcPr>
            <w:tcW w:w="691" w:type="dxa"/>
          </w:tcPr>
          <w:p>
            <w:pPr>
              <w:pStyle w:val="TableParagraph"/>
              <w:rPr>
                <w:sz w:val="14"/>
              </w:rPr>
            </w:pPr>
          </w:p>
        </w:tc>
      </w:tr>
      <w:tr>
        <w:trPr>
          <w:trHeight w:val="203" w:hRule="atLeast"/>
        </w:trPr>
        <w:tc>
          <w:tcPr>
            <w:tcW w:w="2610" w:type="dxa"/>
          </w:tcPr>
          <w:p>
            <w:pPr>
              <w:pStyle w:val="TableParagraph"/>
              <w:spacing w:line="183" w:lineRule="exact"/>
              <w:ind w:left="358"/>
              <w:rPr>
                <w:sz w:val="18"/>
              </w:rPr>
            </w:pPr>
            <w:r>
              <w:rPr>
                <w:sz w:val="18"/>
              </w:rPr>
              <w:t>Outside of United </w:t>
            </w:r>
            <w:r>
              <w:rPr>
                <w:spacing w:val="-2"/>
                <w:sz w:val="18"/>
              </w:rPr>
              <w:t>States</w:t>
            </w:r>
          </w:p>
        </w:tc>
        <w:tc>
          <w:tcPr>
            <w:tcW w:w="1198" w:type="dxa"/>
          </w:tcPr>
          <w:p>
            <w:pPr>
              <w:pStyle w:val="TableParagraph"/>
              <w:spacing w:line="183" w:lineRule="exact"/>
              <w:ind w:right="132"/>
              <w:jc w:val="right"/>
              <w:rPr>
                <w:sz w:val="18"/>
              </w:rPr>
            </w:pPr>
            <w:r>
              <w:rPr>
                <w:sz w:val="18"/>
              </w:rPr>
              <w:t>138 </w:t>
            </w:r>
            <w:r>
              <w:rPr>
                <w:spacing w:val="-2"/>
                <w:sz w:val="18"/>
              </w:rPr>
              <w:t>(98.6%)</w:t>
            </w:r>
          </w:p>
        </w:tc>
        <w:tc>
          <w:tcPr>
            <w:tcW w:w="718" w:type="dxa"/>
          </w:tcPr>
          <w:p>
            <w:pPr>
              <w:pStyle w:val="TableParagraph"/>
              <w:rPr>
                <w:sz w:val="14"/>
              </w:rPr>
            </w:pPr>
          </w:p>
        </w:tc>
        <w:tc>
          <w:tcPr>
            <w:tcW w:w="1171" w:type="dxa"/>
          </w:tcPr>
          <w:p>
            <w:pPr>
              <w:pStyle w:val="TableParagraph"/>
              <w:spacing w:line="183" w:lineRule="exact"/>
              <w:ind w:right="131"/>
              <w:jc w:val="right"/>
              <w:rPr>
                <w:sz w:val="18"/>
              </w:rPr>
            </w:pPr>
            <w:r>
              <w:rPr>
                <w:sz w:val="18"/>
              </w:rPr>
              <w:t>137 </w:t>
            </w:r>
            <w:r>
              <w:rPr>
                <w:spacing w:val="-2"/>
                <w:sz w:val="18"/>
              </w:rPr>
              <w:t>(98.6%)</w:t>
            </w:r>
          </w:p>
        </w:tc>
        <w:tc>
          <w:tcPr>
            <w:tcW w:w="691" w:type="dxa"/>
          </w:tcPr>
          <w:p>
            <w:pPr>
              <w:pStyle w:val="TableParagraph"/>
              <w:rPr>
                <w:sz w:val="14"/>
              </w:rPr>
            </w:pPr>
          </w:p>
        </w:tc>
      </w:tr>
      <w:tr>
        <w:trPr>
          <w:trHeight w:val="417" w:hRule="atLeast"/>
        </w:trPr>
        <w:tc>
          <w:tcPr>
            <w:tcW w:w="2610" w:type="dxa"/>
          </w:tcPr>
          <w:p>
            <w:pPr>
              <w:pStyle w:val="TableParagraph"/>
              <w:rPr>
                <w:sz w:val="18"/>
              </w:rPr>
            </w:pPr>
          </w:p>
          <w:p>
            <w:pPr>
              <w:pStyle w:val="TableParagraph"/>
              <w:spacing w:line="191" w:lineRule="exact"/>
              <w:ind w:left="106"/>
              <w:rPr>
                <w:i/>
                <w:sz w:val="18"/>
              </w:rPr>
            </w:pPr>
            <w:r>
              <w:rPr>
                <w:i/>
                <w:spacing w:val="-2"/>
                <w:sz w:val="18"/>
              </w:rPr>
              <w:t>Enabling</w:t>
            </w:r>
          </w:p>
        </w:tc>
        <w:tc>
          <w:tcPr>
            <w:tcW w:w="1198" w:type="dxa"/>
          </w:tcPr>
          <w:p>
            <w:pPr>
              <w:pStyle w:val="TableParagraph"/>
              <w:rPr>
                <w:sz w:val="18"/>
              </w:rPr>
            </w:pPr>
          </w:p>
        </w:tc>
        <w:tc>
          <w:tcPr>
            <w:tcW w:w="718" w:type="dxa"/>
          </w:tcPr>
          <w:p>
            <w:pPr>
              <w:pStyle w:val="TableParagraph"/>
              <w:rPr>
                <w:sz w:val="18"/>
              </w:rPr>
            </w:pPr>
          </w:p>
        </w:tc>
        <w:tc>
          <w:tcPr>
            <w:tcW w:w="1171" w:type="dxa"/>
          </w:tcPr>
          <w:p>
            <w:pPr>
              <w:pStyle w:val="TableParagraph"/>
              <w:rPr>
                <w:sz w:val="18"/>
              </w:rPr>
            </w:pPr>
          </w:p>
        </w:tc>
        <w:tc>
          <w:tcPr>
            <w:tcW w:w="691" w:type="dxa"/>
          </w:tcPr>
          <w:p>
            <w:pPr>
              <w:pStyle w:val="TableParagraph"/>
              <w:rPr>
                <w:sz w:val="18"/>
              </w:rPr>
            </w:pPr>
          </w:p>
        </w:tc>
      </w:tr>
      <w:tr>
        <w:trPr>
          <w:trHeight w:val="207" w:hRule="atLeast"/>
        </w:trPr>
        <w:tc>
          <w:tcPr>
            <w:tcW w:w="2610" w:type="dxa"/>
          </w:tcPr>
          <w:p>
            <w:pPr>
              <w:pStyle w:val="TableParagraph"/>
              <w:spacing w:line="187" w:lineRule="exact"/>
              <w:ind w:left="106"/>
              <w:rPr>
                <w:sz w:val="18"/>
              </w:rPr>
            </w:pPr>
            <w:r>
              <w:rPr>
                <w:sz w:val="18"/>
              </w:rPr>
              <w:t>Received</w:t>
            </w:r>
            <w:r>
              <w:rPr>
                <w:spacing w:val="-3"/>
                <w:sz w:val="18"/>
              </w:rPr>
              <w:t> </w:t>
            </w:r>
            <w:r>
              <w:rPr>
                <w:sz w:val="18"/>
              </w:rPr>
              <w:t>a </w:t>
            </w:r>
            <w:r>
              <w:rPr>
                <w:spacing w:val="-2"/>
                <w:sz w:val="18"/>
              </w:rPr>
              <w:t>referral</w:t>
            </w:r>
          </w:p>
        </w:tc>
        <w:tc>
          <w:tcPr>
            <w:tcW w:w="1198" w:type="dxa"/>
          </w:tcPr>
          <w:p>
            <w:pPr>
              <w:pStyle w:val="TableParagraph"/>
              <w:rPr>
                <w:sz w:val="14"/>
              </w:rPr>
            </w:pPr>
          </w:p>
        </w:tc>
        <w:tc>
          <w:tcPr>
            <w:tcW w:w="718" w:type="dxa"/>
          </w:tcPr>
          <w:p>
            <w:pPr>
              <w:pStyle w:val="TableParagraph"/>
              <w:spacing w:line="187" w:lineRule="exact"/>
              <w:ind w:left="99" w:right="56"/>
              <w:jc w:val="center"/>
              <w:rPr>
                <w:sz w:val="18"/>
              </w:rPr>
            </w:pPr>
            <w:r>
              <w:rPr>
                <w:spacing w:val="-2"/>
                <w:sz w:val="18"/>
              </w:rPr>
              <w:t>0.062</w:t>
            </w:r>
          </w:p>
        </w:tc>
        <w:tc>
          <w:tcPr>
            <w:tcW w:w="1171" w:type="dxa"/>
          </w:tcPr>
          <w:p>
            <w:pPr>
              <w:pStyle w:val="TableParagraph"/>
              <w:rPr>
                <w:sz w:val="14"/>
              </w:rPr>
            </w:pPr>
          </w:p>
        </w:tc>
        <w:tc>
          <w:tcPr>
            <w:tcW w:w="691" w:type="dxa"/>
          </w:tcPr>
          <w:p>
            <w:pPr>
              <w:pStyle w:val="TableParagraph"/>
              <w:spacing w:line="187" w:lineRule="exact"/>
              <w:ind w:left="99" w:right="27"/>
              <w:jc w:val="center"/>
              <w:rPr>
                <w:sz w:val="18"/>
              </w:rPr>
            </w:pPr>
            <w:r>
              <w:rPr>
                <w:spacing w:val="-2"/>
                <w:sz w:val="18"/>
              </w:rPr>
              <w:t>0.021</w:t>
            </w:r>
          </w:p>
        </w:tc>
      </w:tr>
      <w:tr>
        <w:trPr>
          <w:trHeight w:val="206" w:hRule="atLeast"/>
        </w:trPr>
        <w:tc>
          <w:tcPr>
            <w:tcW w:w="2610" w:type="dxa"/>
          </w:tcPr>
          <w:p>
            <w:pPr>
              <w:pStyle w:val="TableParagraph"/>
              <w:spacing w:line="187" w:lineRule="exact"/>
              <w:ind w:left="358"/>
              <w:rPr>
                <w:sz w:val="18"/>
              </w:rPr>
            </w:pPr>
            <w:r>
              <w:rPr>
                <w:spacing w:val="-5"/>
                <w:sz w:val="18"/>
              </w:rPr>
              <w:t>Yes</w:t>
            </w:r>
          </w:p>
        </w:tc>
        <w:tc>
          <w:tcPr>
            <w:tcW w:w="1198" w:type="dxa"/>
          </w:tcPr>
          <w:p>
            <w:pPr>
              <w:pStyle w:val="TableParagraph"/>
              <w:spacing w:line="187" w:lineRule="exact"/>
              <w:ind w:right="134"/>
              <w:jc w:val="right"/>
              <w:rPr>
                <w:sz w:val="18"/>
              </w:rPr>
            </w:pPr>
            <w:r>
              <w:rPr>
                <w:sz w:val="18"/>
              </w:rPr>
              <w:t>10 </w:t>
            </w:r>
            <w:r>
              <w:rPr>
                <w:spacing w:val="-2"/>
                <w:sz w:val="18"/>
              </w:rPr>
              <w:t>(7.5%)</w:t>
            </w:r>
          </w:p>
        </w:tc>
        <w:tc>
          <w:tcPr>
            <w:tcW w:w="718" w:type="dxa"/>
          </w:tcPr>
          <w:p>
            <w:pPr>
              <w:pStyle w:val="TableParagraph"/>
              <w:rPr>
                <w:sz w:val="14"/>
              </w:rPr>
            </w:pPr>
          </w:p>
        </w:tc>
        <w:tc>
          <w:tcPr>
            <w:tcW w:w="1171" w:type="dxa"/>
          </w:tcPr>
          <w:p>
            <w:pPr>
              <w:pStyle w:val="TableParagraph"/>
              <w:spacing w:line="187" w:lineRule="exact"/>
              <w:ind w:right="133"/>
              <w:jc w:val="right"/>
              <w:rPr>
                <w:sz w:val="18"/>
              </w:rPr>
            </w:pPr>
            <w:r>
              <w:rPr>
                <w:sz w:val="18"/>
              </w:rPr>
              <w:t>9 </w:t>
            </w:r>
            <w:r>
              <w:rPr>
                <w:spacing w:val="-2"/>
                <w:sz w:val="18"/>
              </w:rPr>
              <w:t>(6.8%)</w:t>
            </w:r>
          </w:p>
        </w:tc>
        <w:tc>
          <w:tcPr>
            <w:tcW w:w="691" w:type="dxa"/>
          </w:tcPr>
          <w:p>
            <w:pPr>
              <w:pStyle w:val="TableParagraph"/>
              <w:rPr>
                <w:sz w:val="14"/>
              </w:rPr>
            </w:pPr>
          </w:p>
        </w:tc>
      </w:tr>
      <w:tr>
        <w:trPr>
          <w:trHeight w:val="202" w:hRule="atLeast"/>
        </w:trPr>
        <w:tc>
          <w:tcPr>
            <w:tcW w:w="2610" w:type="dxa"/>
          </w:tcPr>
          <w:p>
            <w:pPr>
              <w:pStyle w:val="TableParagraph"/>
              <w:spacing w:line="183" w:lineRule="exact"/>
              <w:ind w:left="358"/>
              <w:rPr>
                <w:sz w:val="18"/>
              </w:rPr>
            </w:pPr>
            <w:r>
              <w:rPr>
                <w:spacing w:val="-5"/>
                <w:sz w:val="18"/>
              </w:rPr>
              <w:t>No</w:t>
            </w:r>
          </w:p>
        </w:tc>
        <w:tc>
          <w:tcPr>
            <w:tcW w:w="1198" w:type="dxa"/>
          </w:tcPr>
          <w:p>
            <w:pPr>
              <w:pStyle w:val="TableParagraph"/>
              <w:spacing w:line="183" w:lineRule="exact"/>
              <w:ind w:right="133"/>
              <w:jc w:val="right"/>
              <w:rPr>
                <w:sz w:val="18"/>
              </w:rPr>
            </w:pPr>
            <w:r>
              <w:rPr>
                <w:sz w:val="18"/>
              </w:rPr>
              <w:t>123 </w:t>
            </w:r>
            <w:r>
              <w:rPr>
                <w:spacing w:val="-2"/>
                <w:sz w:val="18"/>
              </w:rPr>
              <w:t>(92.5%)</w:t>
            </w:r>
          </w:p>
        </w:tc>
        <w:tc>
          <w:tcPr>
            <w:tcW w:w="718" w:type="dxa"/>
          </w:tcPr>
          <w:p>
            <w:pPr>
              <w:pStyle w:val="TableParagraph"/>
              <w:rPr>
                <w:sz w:val="14"/>
              </w:rPr>
            </w:pPr>
          </w:p>
        </w:tc>
        <w:tc>
          <w:tcPr>
            <w:tcW w:w="1171" w:type="dxa"/>
          </w:tcPr>
          <w:p>
            <w:pPr>
              <w:pStyle w:val="TableParagraph"/>
              <w:spacing w:line="183" w:lineRule="exact"/>
              <w:ind w:right="132"/>
              <w:jc w:val="right"/>
              <w:rPr>
                <w:sz w:val="18"/>
              </w:rPr>
            </w:pPr>
            <w:r>
              <w:rPr>
                <w:sz w:val="18"/>
              </w:rPr>
              <w:t>123 </w:t>
            </w:r>
            <w:r>
              <w:rPr>
                <w:spacing w:val="-2"/>
                <w:sz w:val="18"/>
              </w:rPr>
              <w:t>(93.2%)</w:t>
            </w:r>
          </w:p>
        </w:tc>
        <w:tc>
          <w:tcPr>
            <w:tcW w:w="691" w:type="dxa"/>
          </w:tcPr>
          <w:p>
            <w:pPr>
              <w:pStyle w:val="TableParagraph"/>
              <w:rPr>
                <w:sz w:val="14"/>
              </w:rPr>
            </w:pPr>
          </w:p>
        </w:tc>
      </w:tr>
    </w:tbl>
    <w:p>
      <w:pPr>
        <w:spacing w:after="0"/>
        <w:rPr>
          <w:sz w:val="14"/>
        </w:rPr>
        <w:sectPr>
          <w:type w:val="continuous"/>
          <w:pgSz w:w="12240" w:h="15840"/>
          <w:pgMar w:header="723" w:footer="1065" w:top="1340" w:bottom="1260" w:left="1200" w:right="980"/>
        </w:sectPr>
      </w:pPr>
    </w:p>
    <w:p>
      <w:pPr>
        <w:spacing w:before="6"/>
        <w:ind w:left="1832" w:right="0" w:firstLine="0"/>
        <w:jc w:val="left"/>
        <w:rPr>
          <w:sz w:val="18"/>
        </w:rPr>
      </w:pPr>
      <w:r>
        <w:rPr>
          <w:sz w:val="18"/>
        </w:rPr>
        <w:t>Ever</w:t>
      </w:r>
      <w:r>
        <w:rPr>
          <w:spacing w:val="-10"/>
          <w:sz w:val="18"/>
        </w:rPr>
        <w:t> </w:t>
      </w:r>
      <w:r>
        <w:rPr>
          <w:sz w:val="18"/>
        </w:rPr>
        <w:t>heard</w:t>
      </w:r>
      <w:r>
        <w:rPr>
          <w:spacing w:val="-11"/>
          <w:sz w:val="18"/>
        </w:rPr>
        <w:t> </w:t>
      </w:r>
      <w:r>
        <w:rPr>
          <w:sz w:val="18"/>
        </w:rPr>
        <w:t>of</w:t>
      </w:r>
      <w:r>
        <w:rPr>
          <w:spacing w:val="-11"/>
          <w:sz w:val="18"/>
        </w:rPr>
        <w:t> </w:t>
      </w:r>
      <w:r>
        <w:rPr>
          <w:sz w:val="18"/>
        </w:rPr>
        <w:t>a</w:t>
      </w:r>
      <w:r>
        <w:rPr>
          <w:spacing w:val="-11"/>
          <w:sz w:val="18"/>
        </w:rPr>
        <w:t> </w:t>
      </w:r>
      <w:r>
        <w:rPr>
          <w:sz w:val="18"/>
        </w:rPr>
        <w:t>Sigmoidoscopy, Colonoscopy, or FOBT?</w:t>
      </w:r>
    </w:p>
    <w:p>
      <w:pPr>
        <w:tabs>
          <w:tab w:pos="3415" w:val="left" w:leader="none"/>
        </w:tabs>
        <w:spacing w:before="109"/>
        <w:ind w:left="1525" w:right="0" w:firstLine="0"/>
        <w:jc w:val="left"/>
        <w:rPr>
          <w:sz w:val="18"/>
        </w:rPr>
      </w:pPr>
      <w:r>
        <w:rPr/>
        <w:br w:type="column"/>
      </w:r>
      <w:r>
        <w:rPr>
          <w:spacing w:val="-2"/>
          <w:sz w:val="18"/>
        </w:rPr>
        <w:t>0.861</w:t>
      </w:r>
      <w:r>
        <w:rPr>
          <w:sz w:val="18"/>
        </w:rPr>
        <w:tab/>
      </w:r>
      <w:r>
        <w:rPr>
          <w:spacing w:val="-2"/>
          <w:sz w:val="18"/>
        </w:rPr>
        <w:t>0.954</w:t>
      </w:r>
    </w:p>
    <w:p>
      <w:pPr>
        <w:spacing w:after="0"/>
        <w:jc w:val="left"/>
        <w:rPr>
          <w:sz w:val="18"/>
        </w:rPr>
        <w:sectPr>
          <w:type w:val="continuous"/>
          <w:pgSz w:w="12240" w:h="15840"/>
          <w:pgMar w:header="723" w:footer="1065" w:top="1340" w:bottom="1260" w:left="1200" w:right="980"/>
          <w:cols w:num="2" w:equalWidth="0">
            <w:col w:w="4147" w:space="40"/>
            <w:col w:w="5873"/>
          </w:cols>
        </w:sectPr>
      </w:pPr>
    </w:p>
    <w:tbl>
      <w:tblPr>
        <w:tblW w:w="0" w:type="auto"/>
        <w:jc w:val="left"/>
        <w:tblInd w:w="17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486"/>
        <w:gridCol w:w="1357"/>
        <w:gridCol w:w="696"/>
        <w:gridCol w:w="1192"/>
        <w:gridCol w:w="669"/>
      </w:tblGrid>
      <w:tr>
        <w:trPr>
          <w:trHeight w:val="202" w:hRule="atLeast"/>
        </w:trPr>
        <w:tc>
          <w:tcPr>
            <w:tcW w:w="2486" w:type="dxa"/>
          </w:tcPr>
          <w:p>
            <w:pPr>
              <w:pStyle w:val="TableParagraph"/>
              <w:spacing w:line="183" w:lineRule="exact"/>
              <w:ind w:left="373"/>
              <w:rPr>
                <w:sz w:val="18"/>
              </w:rPr>
            </w:pPr>
            <w:r>
              <w:rPr>
                <w:spacing w:val="-5"/>
                <w:sz w:val="18"/>
              </w:rPr>
              <w:t>Yes</w:t>
            </w:r>
          </w:p>
        </w:tc>
        <w:tc>
          <w:tcPr>
            <w:tcW w:w="1357" w:type="dxa"/>
          </w:tcPr>
          <w:p>
            <w:pPr>
              <w:pStyle w:val="TableParagraph"/>
              <w:spacing w:line="183" w:lineRule="exact"/>
              <w:ind w:right="154"/>
              <w:jc w:val="right"/>
              <w:rPr>
                <w:sz w:val="18"/>
              </w:rPr>
            </w:pPr>
            <w:r>
              <w:rPr>
                <w:sz w:val="18"/>
              </w:rPr>
              <w:t>121 </w:t>
            </w:r>
            <w:r>
              <w:rPr>
                <w:spacing w:val="-2"/>
                <w:sz w:val="18"/>
              </w:rPr>
              <w:t>(86.4%)</w:t>
            </w:r>
          </w:p>
        </w:tc>
        <w:tc>
          <w:tcPr>
            <w:tcW w:w="2557" w:type="dxa"/>
            <w:gridSpan w:val="3"/>
          </w:tcPr>
          <w:p>
            <w:pPr>
              <w:pStyle w:val="TableParagraph"/>
              <w:spacing w:line="183" w:lineRule="exact"/>
              <w:ind w:left="832"/>
              <w:rPr>
                <w:sz w:val="18"/>
              </w:rPr>
            </w:pPr>
            <w:r>
              <w:rPr>
                <w:sz w:val="18"/>
              </w:rPr>
              <w:t>120 </w:t>
            </w:r>
            <w:r>
              <w:rPr>
                <w:spacing w:val="-2"/>
                <w:sz w:val="18"/>
              </w:rPr>
              <w:t>(86.3%)</w:t>
            </w:r>
          </w:p>
        </w:tc>
      </w:tr>
      <w:tr>
        <w:trPr>
          <w:trHeight w:val="202" w:hRule="atLeast"/>
        </w:trPr>
        <w:tc>
          <w:tcPr>
            <w:tcW w:w="2486" w:type="dxa"/>
          </w:tcPr>
          <w:p>
            <w:pPr>
              <w:pStyle w:val="TableParagraph"/>
              <w:spacing w:line="183" w:lineRule="exact"/>
              <w:ind w:left="373"/>
              <w:rPr>
                <w:sz w:val="18"/>
              </w:rPr>
            </w:pPr>
            <w:r>
              <w:rPr>
                <w:spacing w:val="-5"/>
                <w:sz w:val="18"/>
              </w:rPr>
              <w:t>No</w:t>
            </w:r>
          </w:p>
        </w:tc>
        <w:tc>
          <w:tcPr>
            <w:tcW w:w="1357" w:type="dxa"/>
          </w:tcPr>
          <w:p>
            <w:pPr>
              <w:pStyle w:val="TableParagraph"/>
              <w:spacing w:line="183" w:lineRule="exact"/>
              <w:ind w:right="154"/>
              <w:jc w:val="right"/>
              <w:rPr>
                <w:sz w:val="18"/>
              </w:rPr>
            </w:pPr>
            <w:r>
              <w:rPr>
                <w:sz w:val="18"/>
              </w:rPr>
              <w:t>19 </w:t>
            </w:r>
            <w:r>
              <w:rPr>
                <w:spacing w:val="-2"/>
                <w:sz w:val="18"/>
              </w:rPr>
              <w:t>(13.6%)</w:t>
            </w:r>
          </w:p>
        </w:tc>
        <w:tc>
          <w:tcPr>
            <w:tcW w:w="2557" w:type="dxa"/>
            <w:gridSpan w:val="3"/>
          </w:tcPr>
          <w:p>
            <w:pPr>
              <w:pStyle w:val="TableParagraph"/>
              <w:spacing w:line="183" w:lineRule="exact"/>
              <w:ind w:left="922"/>
              <w:rPr>
                <w:sz w:val="18"/>
              </w:rPr>
            </w:pPr>
            <w:r>
              <w:rPr>
                <w:sz w:val="18"/>
              </w:rPr>
              <w:t>19 </w:t>
            </w:r>
            <w:r>
              <w:rPr>
                <w:spacing w:val="-2"/>
                <w:sz w:val="18"/>
              </w:rPr>
              <w:t>(13.7%)</w:t>
            </w:r>
          </w:p>
        </w:tc>
      </w:tr>
      <w:tr>
        <w:trPr>
          <w:trHeight w:val="624" w:hRule="atLeast"/>
        </w:trPr>
        <w:tc>
          <w:tcPr>
            <w:tcW w:w="2486" w:type="dxa"/>
          </w:tcPr>
          <w:p>
            <w:pPr>
              <w:pStyle w:val="TableParagraph"/>
              <w:rPr>
                <w:sz w:val="18"/>
              </w:rPr>
            </w:pPr>
          </w:p>
          <w:p>
            <w:pPr>
              <w:pStyle w:val="TableParagraph"/>
              <w:spacing w:line="207" w:lineRule="exact"/>
              <w:ind w:left="121"/>
              <w:rPr>
                <w:i/>
                <w:sz w:val="18"/>
              </w:rPr>
            </w:pPr>
            <w:r>
              <w:rPr>
                <w:i/>
                <w:spacing w:val="-2"/>
                <w:sz w:val="18"/>
              </w:rPr>
              <w:t>Predisposing</w:t>
            </w:r>
          </w:p>
          <w:p>
            <w:pPr>
              <w:pStyle w:val="TableParagraph"/>
              <w:spacing w:line="191" w:lineRule="exact"/>
              <w:ind w:left="121"/>
              <w:rPr>
                <w:sz w:val="18"/>
              </w:rPr>
            </w:pPr>
            <w:r>
              <w:rPr>
                <w:sz w:val="18"/>
              </w:rPr>
              <w:t>Change</w:t>
            </w:r>
            <w:r>
              <w:rPr>
                <w:spacing w:val="-2"/>
                <w:sz w:val="18"/>
              </w:rPr>
              <w:t> </w:t>
            </w:r>
            <w:r>
              <w:rPr>
                <w:sz w:val="18"/>
              </w:rPr>
              <w:t>in</w:t>
            </w:r>
            <w:r>
              <w:rPr>
                <w:spacing w:val="-1"/>
                <w:sz w:val="18"/>
              </w:rPr>
              <w:t> </w:t>
            </w:r>
            <w:r>
              <w:rPr>
                <w:sz w:val="18"/>
              </w:rPr>
              <w:t>knowledge </w:t>
            </w:r>
            <w:r>
              <w:rPr>
                <w:spacing w:val="-2"/>
                <w:sz w:val="18"/>
              </w:rPr>
              <w:t>scores</w:t>
            </w:r>
          </w:p>
        </w:tc>
        <w:tc>
          <w:tcPr>
            <w:tcW w:w="1357" w:type="dxa"/>
          </w:tcPr>
          <w:p>
            <w:pPr>
              <w:pStyle w:val="TableParagraph"/>
              <w:rPr>
                <w:sz w:val="18"/>
              </w:rPr>
            </w:pPr>
          </w:p>
        </w:tc>
        <w:tc>
          <w:tcPr>
            <w:tcW w:w="696" w:type="dxa"/>
          </w:tcPr>
          <w:p>
            <w:pPr>
              <w:pStyle w:val="TableParagraph"/>
              <w:spacing w:before="206"/>
              <w:rPr>
                <w:sz w:val="18"/>
              </w:rPr>
            </w:pPr>
          </w:p>
          <w:p>
            <w:pPr>
              <w:pStyle w:val="TableParagraph"/>
              <w:spacing w:line="191" w:lineRule="exact"/>
              <w:ind w:left="26"/>
              <w:jc w:val="center"/>
              <w:rPr>
                <w:sz w:val="18"/>
              </w:rPr>
            </w:pPr>
            <w:r>
              <w:rPr>
                <w:spacing w:val="-2"/>
                <w:sz w:val="18"/>
              </w:rPr>
              <w:t>0.000</w:t>
            </w:r>
          </w:p>
        </w:tc>
        <w:tc>
          <w:tcPr>
            <w:tcW w:w="1192" w:type="dxa"/>
          </w:tcPr>
          <w:p>
            <w:pPr>
              <w:pStyle w:val="TableParagraph"/>
              <w:rPr>
                <w:sz w:val="18"/>
              </w:rPr>
            </w:pPr>
          </w:p>
        </w:tc>
        <w:tc>
          <w:tcPr>
            <w:tcW w:w="669" w:type="dxa"/>
          </w:tcPr>
          <w:p>
            <w:pPr>
              <w:pStyle w:val="TableParagraph"/>
              <w:spacing w:before="206"/>
              <w:rPr>
                <w:sz w:val="18"/>
              </w:rPr>
            </w:pPr>
          </w:p>
          <w:p>
            <w:pPr>
              <w:pStyle w:val="TableParagraph"/>
              <w:spacing w:line="191" w:lineRule="exact"/>
              <w:ind w:left="57" w:right="1"/>
              <w:jc w:val="center"/>
              <w:rPr>
                <w:sz w:val="18"/>
              </w:rPr>
            </w:pPr>
            <w:r>
              <w:rPr>
                <w:spacing w:val="-2"/>
                <w:sz w:val="18"/>
              </w:rPr>
              <w:t>0.000</w:t>
            </w:r>
          </w:p>
        </w:tc>
      </w:tr>
      <w:tr>
        <w:trPr>
          <w:trHeight w:val="206" w:hRule="atLeast"/>
        </w:trPr>
        <w:tc>
          <w:tcPr>
            <w:tcW w:w="2486" w:type="dxa"/>
          </w:tcPr>
          <w:p>
            <w:pPr>
              <w:pStyle w:val="TableParagraph"/>
              <w:spacing w:line="187" w:lineRule="exact"/>
              <w:ind w:left="373"/>
              <w:rPr>
                <w:sz w:val="18"/>
              </w:rPr>
            </w:pPr>
            <w:r>
              <w:rPr>
                <w:sz w:val="18"/>
              </w:rPr>
              <w:t>Negative</w:t>
            </w:r>
            <w:r>
              <w:rPr>
                <w:spacing w:val="-1"/>
                <w:sz w:val="18"/>
              </w:rPr>
              <w:t> </w:t>
            </w:r>
            <w:r>
              <w:rPr>
                <w:sz w:val="18"/>
              </w:rPr>
              <w:t>or</w:t>
            </w:r>
            <w:r>
              <w:rPr>
                <w:spacing w:val="-2"/>
                <w:sz w:val="18"/>
              </w:rPr>
              <w:t> </w:t>
            </w:r>
            <w:r>
              <w:rPr>
                <w:sz w:val="18"/>
              </w:rPr>
              <w:t>No</w:t>
            </w:r>
            <w:r>
              <w:rPr>
                <w:spacing w:val="-1"/>
                <w:sz w:val="18"/>
              </w:rPr>
              <w:t> </w:t>
            </w:r>
            <w:r>
              <w:rPr>
                <w:spacing w:val="-2"/>
                <w:sz w:val="18"/>
              </w:rPr>
              <w:t>change</w:t>
            </w:r>
          </w:p>
        </w:tc>
        <w:tc>
          <w:tcPr>
            <w:tcW w:w="1357" w:type="dxa"/>
          </w:tcPr>
          <w:p>
            <w:pPr>
              <w:pStyle w:val="TableParagraph"/>
              <w:spacing w:line="187" w:lineRule="exact"/>
              <w:ind w:right="153"/>
              <w:jc w:val="right"/>
              <w:rPr>
                <w:sz w:val="18"/>
              </w:rPr>
            </w:pPr>
            <w:r>
              <w:rPr>
                <w:sz w:val="18"/>
              </w:rPr>
              <w:t>24 </w:t>
            </w:r>
            <w:r>
              <w:rPr>
                <w:spacing w:val="-2"/>
                <w:sz w:val="18"/>
              </w:rPr>
              <w:t>(17.1%)</w:t>
            </w:r>
          </w:p>
        </w:tc>
        <w:tc>
          <w:tcPr>
            <w:tcW w:w="696" w:type="dxa"/>
          </w:tcPr>
          <w:p>
            <w:pPr>
              <w:pStyle w:val="TableParagraph"/>
              <w:rPr>
                <w:sz w:val="14"/>
              </w:rPr>
            </w:pPr>
          </w:p>
        </w:tc>
        <w:tc>
          <w:tcPr>
            <w:tcW w:w="1192" w:type="dxa"/>
          </w:tcPr>
          <w:p>
            <w:pPr>
              <w:pStyle w:val="TableParagraph"/>
              <w:spacing w:line="187" w:lineRule="exact"/>
              <w:ind w:right="151"/>
              <w:jc w:val="right"/>
              <w:rPr>
                <w:sz w:val="18"/>
              </w:rPr>
            </w:pPr>
            <w:r>
              <w:rPr>
                <w:sz w:val="18"/>
              </w:rPr>
              <w:t>22 </w:t>
            </w:r>
            <w:r>
              <w:rPr>
                <w:spacing w:val="-2"/>
                <w:sz w:val="18"/>
              </w:rPr>
              <w:t>(15.8%)</w:t>
            </w:r>
          </w:p>
        </w:tc>
        <w:tc>
          <w:tcPr>
            <w:tcW w:w="669" w:type="dxa"/>
          </w:tcPr>
          <w:p>
            <w:pPr>
              <w:pStyle w:val="TableParagraph"/>
              <w:rPr>
                <w:sz w:val="14"/>
              </w:rPr>
            </w:pPr>
          </w:p>
        </w:tc>
      </w:tr>
      <w:tr>
        <w:trPr>
          <w:trHeight w:val="621" w:hRule="atLeast"/>
        </w:trPr>
        <w:tc>
          <w:tcPr>
            <w:tcW w:w="2486" w:type="dxa"/>
          </w:tcPr>
          <w:p>
            <w:pPr>
              <w:pStyle w:val="TableParagraph"/>
              <w:ind w:left="121" w:right="448" w:firstLine="252"/>
              <w:rPr>
                <w:sz w:val="18"/>
              </w:rPr>
            </w:pPr>
            <w:r>
              <w:rPr>
                <w:sz w:val="18"/>
              </w:rPr>
              <w:t>Positive change Change</w:t>
            </w:r>
            <w:r>
              <w:rPr>
                <w:spacing w:val="-12"/>
                <w:sz w:val="18"/>
              </w:rPr>
              <w:t> </w:t>
            </w:r>
            <w:r>
              <w:rPr>
                <w:sz w:val="18"/>
              </w:rPr>
              <w:t>in</w:t>
            </w:r>
            <w:r>
              <w:rPr>
                <w:spacing w:val="-11"/>
                <w:sz w:val="18"/>
              </w:rPr>
              <w:t> </w:t>
            </w:r>
            <w:r>
              <w:rPr>
                <w:sz w:val="18"/>
              </w:rPr>
              <w:t>belief</w:t>
            </w:r>
            <w:r>
              <w:rPr>
                <w:spacing w:val="-11"/>
                <w:sz w:val="18"/>
              </w:rPr>
              <w:t> </w:t>
            </w:r>
            <w:r>
              <w:rPr>
                <w:sz w:val="18"/>
              </w:rPr>
              <w:t>scores</w:t>
            </w:r>
          </w:p>
          <w:p>
            <w:pPr>
              <w:pStyle w:val="TableParagraph"/>
              <w:spacing w:line="191" w:lineRule="exact"/>
              <w:ind w:left="373"/>
              <w:rPr>
                <w:sz w:val="18"/>
              </w:rPr>
            </w:pPr>
            <w:r>
              <w:rPr>
                <w:sz w:val="18"/>
              </w:rPr>
              <w:t>Negative</w:t>
            </w:r>
            <w:r>
              <w:rPr>
                <w:spacing w:val="-1"/>
                <w:sz w:val="18"/>
              </w:rPr>
              <w:t> </w:t>
            </w:r>
            <w:r>
              <w:rPr>
                <w:sz w:val="18"/>
              </w:rPr>
              <w:t>or</w:t>
            </w:r>
            <w:r>
              <w:rPr>
                <w:spacing w:val="-2"/>
                <w:sz w:val="18"/>
              </w:rPr>
              <w:t> </w:t>
            </w:r>
            <w:r>
              <w:rPr>
                <w:sz w:val="18"/>
              </w:rPr>
              <w:t>No</w:t>
            </w:r>
            <w:r>
              <w:rPr>
                <w:spacing w:val="-1"/>
                <w:sz w:val="18"/>
              </w:rPr>
              <w:t> </w:t>
            </w:r>
            <w:r>
              <w:rPr>
                <w:spacing w:val="-2"/>
                <w:sz w:val="18"/>
              </w:rPr>
              <w:t>change</w:t>
            </w:r>
          </w:p>
        </w:tc>
        <w:tc>
          <w:tcPr>
            <w:tcW w:w="1357" w:type="dxa"/>
          </w:tcPr>
          <w:p>
            <w:pPr>
              <w:pStyle w:val="TableParagraph"/>
              <w:spacing w:line="203" w:lineRule="exact"/>
              <w:ind w:right="154"/>
              <w:jc w:val="right"/>
              <w:rPr>
                <w:sz w:val="18"/>
              </w:rPr>
            </w:pPr>
            <w:r>
              <w:rPr>
                <w:sz w:val="18"/>
              </w:rPr>
              <w:t>116 </w:t>
            </w:r>
            <w:r>
              <w:rPr>
                <w:spacing w:val="-2"/>
                <w:sz w:val="18"/>
              </w:rPr>
              <w:t>(82.9%)</w:t>
            </w:r>
          </w:p>
          <w:p>
            <w:pPr>
              <w:pStyle w:val="TableParagraph"/>
              <w:rPr>
                <w:sz w:val="18"/>
              </w:rPr>
            </w:pPr>
          </w:p>
          <w:p>
            <w:pPr>
              <w:pStyle w:val="TableParagraph"/>
              <w:spacing w:line="191" w:lineRule="exact"/>
              <w:ind w:right="154"/>
              <w:jc w:val="right"/>
              <w:rPr>
                <w:sz w:val="18"/>
              </w:rPr>
            </w:pPr>
            <w:r>
              <w:rPr>
                <w:sz w:val="18"/>
              </w:rPr>
              <w:t>8 </w:t>
            </w:r>
            <w:r>
              <w:rPr>
                <w:spacing w:val="-2"/>
                <w:sz w:val="18"/>
              </w:rPr>
              <w:t>(5.7%)</w:t>
            </w:r>
          </w:p>
        </w:tc>
        <w:tc>
          <w:tcPr>
            <w:tcW w:w="696" w:type="dxa"/>
          </w:tcPr>
          <w:p>
            <w:pPr>
              <w:pStyle w:val="TableParagraph"/>
              <w:spacing w:before="203"/>
              <w:ind w:left="26"/>
              <w:jc w:val="center"/>
              <w:rPr>
                <w:sz w:val="18"/>
              </w:rPr>
            </w:pPr>
            <w:r>
              <w:rPr>
                <w:spacing w:val="-2"/>
                <w:sz w:val="18"/>
              </w:rPr>
              <w:t>0.309</w:t>
            </w:r>
          </w:p>
        </w:tc>
        <w:tc>
          <w:tcPr>
            <w:tcW w:w="1192" w:type="dxa"/>
          </w:tcPr>
          <w:p>
            <w:pPr>
              <w:pStyle w:val="TableParagraph"/>
              <w:spacing w:line="203" w:lineRule="exact"/>
              <w:ind w:right="152"/>
              <w:jc w:val="right"/>
              <w:rPr>
                <w:sz w:val="18"/>
              </w:rPr>
            </w:pPr>
            <w:r>
              <w:rPr>
                <w:sz w:val="18"/>
              </w:rPr>
              <w:t>117 </w:t>
            </w:r>
            <w:r>
              <w:rPr>
                <w:spacing w:val="-2"/>
                <w:sz w:val="18"/>
              </w:rPr>
              <w:t>(84.2%)</w:t>
            </w:r>
          </w:p>
          <w:p>
            <w:pPr>
              <w:pStyle w:val="TableParagraph"/>
              <w:rPr>
                <w:sz w:val="18"/>
              </w:rPr>
            </w:pPr>
          </w:p>
          <w:p>
            <w:pPr>
              <w:pStyle w:val="TableParagraph"/>
              <w:spacing w:line="191" w:lineRule="exact"/>
              <w:ind w:right="152"/>
              <w:jc w:val="right"/>
              <w:rPr>
                <w:sz w:val="18"/>
              </w:rPr>
            </w:pPr>
            <w:r>
              <w:rPr>
                <w:sz w:val="18"/>
              </w:rPr>
              <w:t>6 </w:t>
            </w:r>
            <w:r>
              <w:rPr>
                <w:spacing w:val="-2"/>
                <w:sz w:val="18"/>
              </w:rPr>
              <w:t>(4.3%)</w:t>
            </w:r>
          </w:p>
        </w:tc>
        <w:tc>
          <w:tcPr>
            <w:tcW w:w="669" w:type="dxa"/>
          </w:tcPr>
          <w:p>
            <w:pPr>
              <w:pStyle w:val="TableParagraph"/>
              <w:spacing w:before="203"/>
              <w:ind w:left="57"/>
              <w:jc w:val="center"/>
              <w:rPr>
                <w:sz w:val="18"/>
              </w:rPr>
            </w:pPr>
            <w:r>
              <w:rPr>
                <w:spacing w:val="-2"/>
                <w:sz w:val="18"/>
              </w:rPr>
              <w:t>0.632</w:t>
            </w:r>
          </w:p>
        </w:tc>
      </w:tr>
      <w:tr>
        <w:trPr>
          <w:trHeight w:val="208" w:hRule="atLeast"/>
        </w:trPr>
        <w:tc>
          <w:tcPr>
            <w:tcW w:w="2486" w:type="dxa"/>
            <w:tcBorders>
              <w:bottom w:val="single" w:sz="4" w:space="0" w:color="000000"/>
            </w:tcBorders>
          </w:tcPr>
          <w:p>
            <w:pPr>
              <w:pStyle w:val="TableParagraph"/>
              <w:spacing w:line="189" w:lineRule="exact"/>
              <w:ind w:left="373"/>
              <w:rPr>
                <w:sz w:val="18"/>
              </w:rPr>
            </w:pPr>
            <w:r>
              <w:rPr>
                <w:sz w:val="18"/>
              </w:rPr>
              <w:t>Positive</w:t>
            </w:r>
            <w:r>
              <w:rPr>
                <w:spacing w:val="-1"/>
                <w:sz w:val="18"/>
              </w:rPr>
              <w:t> </w:t>
            </w:r>
            <w:r>
              <w:rPr>
                <w:spacing w:val="-2"/>
                <w:sz w:val="18"/>
              </w:rPr>
              <w:t>change</w:t>
            </w:r>
          </w:p>
        </w:tc>
        <w:tc>
          <w:tcPr>
            <w:tcW w:w="1357" w:type="dxa"/>
            <w:tcBorders>
              <w:bottom w:val="single" w:sz="4" w:space="0" w:color="000000"/>
            </w:tcBorders>
          </w:tcPr>
          <w:p>
            <w:pPr>
              <w:pStyle w:val="TableParagraph"/>
              <w:spacing w:line="189" w:lineRule="exact"/>
              <w:ind w:right="154"/>
              <w:jc w:val="right"/>
              <w:rPr>
                <w:sz w:val="18"/>
              </w:rPr>
            </w:pPr>
            <w:r>
              <w:rPr>
                <w:sz w:val="18"/>
              </w:rPr>
              <w:t>132 </w:t>
            </w:r>
            <w:r>
              <w:rPr>
                <w:spacing w:val="-2"/>
                <w:sz w:val="18"/>
              </w:rPr>
              <w:t>(94.3%)</w:t>
            </w:r>
          </w:p>
        </w:tc>
        <w:tc>
          <w:tcPr>
            <w:tcW w:w="696" w:type="dxa"/>
            <w:tcBorders>
              <w:bottom w:val="single" w:sz="4" w:space="0" w:color="000000"/>
            </w:tcBorders>
          </w:tcPr>
          <w:p>
            <w:pPr>
              <w:pStyle w:val="TableParagraph"/>
              <w:rPr>
                <w:sz w:val="14"/>
              </w:rPr>
            </w:pPr>
          </w:p>
        </w:tc>
        <w:tc>
          <w:tcPr>
            <w:tcW w:w="1192" w:type="dxa"/>
            <w:tcBorders>
              <w:bottom w:val="single" w:sz="4" w:space="0" w:color="000000"/>
            </w:tcBorders>
          </w:tcPr>
          <w:p>
            <w:pPr>
              <w:pStyle w:val="TableParagraph"/>
              <w:spacing w:line="189" w:lineRule="exact"/>
              <w:ind w:right="152"/>
              <w:jc w:val="right"/>
              <w:rPr>
                <w:sz w:val="18"/>
              </w:rPr>
            </w:pPr>
            <w:r>
              <w:rPr>
                <w:sz w:val="18"/>
              </w:rPr>
              <w:t>133 </w:t>
            </w:r>
            <w:r>
              <w:rPr>
                <w:spacing w:val="-2"/>
                <w:sz w:val="18"/>
              </w:rPr>
              <w:t>(95.7%)</w:t>
            </w:r>
          </w:p>
        </w:tc>
        <w:tc>
          <w:tcPr>
            <w:tcW w:w="669" w:type="dxa"/>
            <w:tcBorders>
              <w:bottom w:val="single" w:sz="4" w:space="0" w:color="000000"/>
            </w:tcBorders>
          </w:tcPr>
          <w:p>
            <w:pPr>
              <w:pStyle w:val="TableParagraph"/>
              <w:rPr>
                <w:sz w:val="14"/>
              </w:rPr>
            </w:pPr>
          </w:p>
        </w:tc>
      </w:tr>
    </w:tbl>
    <w:p>
      <w:pPr>
        <w:spacing w:before="6"/>
        <w:ind w:left="1680" w:right="0" w:firstLine="0"/>
        <w:jc w:val="left"/>
        <w:rPr>
          <w:sz w:val="18"/>
        </w:rPr>
      </w:pPr>
      <w:r>
        <w:rPr>
          <w:sz w:val="18"/>
        </w:rPr>
        <w:t>Performed</w:t>
      </w:r>
      <w:r>
        <w:rPr>
          <w:spacing w:val="-2"/>
          <w:sz w:val="18"/>
        </w:rPr>
        <w:t> </w:t>
      </w:r>
      <w:r>
        <w:rPr>
          <w:sz w:val="18"/>
        </w:rPr>
        <w:t>chi-square</w:t>
      </w:r>
      <w:r>
        <w:rPr>
          <w:spacing w:val="-2"/>
          <w:sz w:val="18"/>
        </w:rPr>
        <w:t> </w:t>
      </w:r>
      <w:r>
        <w:rPr>
          <w:sz w:val="18"/>
        </w:rPr>
        <w:t>tests</w:t>
      </w:r>
      <w:r>
        <w:rPr>
          <w:spacing w:val="-3"/>
          <w:sz w:val="18"/>
        </w:rPr>
        <w:t> </w:t>
      </w:r>
      <w:r>
        <w:rPr>
          <w:sz w:val="18"/>
        </w:rPr>
        <w:t>to</w:t>
      </w:r>
      <w:r>
        <w:rPr>
          <w:spacing w:val="-1"/>
          <w:sz w:val="18"/>
        </w:rPr>
        <w:t> </w:t>
      </w:r>
      <w:r>
        <w:rPr>
          <w:sz w:val="18"/>
        </w:rPr>
        <w:t>determine</w:t>
      </w:r>
      <w:r>
        <w:rPr>
          <w:spacing w:val="-1"/>
          <w:sz w:val="18"/>
        </w:rPr>
        <w:t> </w:t>
      </w:r>
      <w:r>
        <w:rPr>
          <w:sz w:val="18"/>
        </w:rPr>
        <w:t>p-</w:t>
      </w:r>
      <w:r>
        <w:rPr>
          <w:spacing w:val="-2"/>
          <w:sz w:val="18"/>
        </w:rPr>
        <w:t>values.</w:t>
      </w:r>
    </w:p>
    <w:p>
      <w:pPr>
        <w:pStyle w:val="BodyText"/>
        <w:spacing w:before="4"/>
        <w:rPr>
          <w:sz w:val="14"/>
        </w:rPr>
      </w:pPr>
    </w:p>
    <w:p>
      <w:pPr>
        <w:spacing w:after="0"/>
        <w:rPr>
          <w:sz w:val="14"/>
        </w:rPr>
        <w:sectPr>
          <w:type w:val="continuous"/>
          <w:pgSz w:w="12240" w:h="15840"/>
          <w:pgMar w:header="723" w:footer="1065" w:top="1340" w:bottom="1260" w:left="1200" w:right="980"/>
        </w:sectPr>
      </w:pPr>
    </w:p>
    <w:p>
      <w:pPr>
        <w:pStyle w:val="BodyText"/>
        <w:spacing w:before="90"/>
        <w:ind w:left="240" w:right="38"/>
        <w:jc w:val="both"/>
      </w:pPr>
      <w:r>
        <w:rPr/>
        <w:t>The study highlighted the effectiveness of tailored education in addressing cultural and linguistic needs, and increasing knowledge of CRC screening among Chamorros and other Pacific Islanders in Orange County. Our results indicate that knowledge was a significant predictor for intention to talk to a doctor. </w:t>
      </w:r>
      <w:r>
        <w:rPr/>
        <w:t>In addition, female gender and knowledge were predictors for intention to participate in </w:t>
      </w:r>
      <w:r>
        <w:rPr>
          <w:spacing w:val="-2"/>
        </w:rPr>
        <w:t>screening.</w:t>
      </w:r>
    </w:p>
    <w:p>
      <w:pPr>
        <w:pStyle w:val="BodyText"/>
      </w:pPr>
    </w:p>
    <w:p>
      <w:pPr>
        <w:pStyle w:val="BodyText"/>
        <w:ind w:left="240" w:right="38"/>
        <w:jc w:val="both"/>
      </w:pPr>
      <w:r>
        <w:rPr/>
        <w:t>The results demonstrated the education’s potential at moving participants with limited</w:t>
      </w:r>
    </w:p>
    <w:p>
      <w:pPr>
        <w:pStyle w:val="BodyText"/>
        <w:spacing w:before="90"/>
        <w:ind w:left="240" w:right="456"/>
        <w:jc w:val="both"/>
      </w:pPr>
      <w:r>
        <w:rPr/>
        <w:br w:type="column"/>
      </w:r>
      <w:r>
        <w:rPr/>
        <w:t>CRC screening knowledge to participate in screening. The relationship between positive change in knowledge and screening intention is consistent with other racial/ethnic minority studies that found cancer screening knowledge</w:t>
      </w:r>
      <w:r>
        <w:rPr>
          <w:spacing w:val="40"/>
        </w:rPr>
        <w:t> </w:t>
      </w:r>
      <w:r>
        <w:rPr/>
        <w:t>to be associated with screening behavior (James, Daley, &amp; Greiner, 2011; Sadler et al., 2007). For instance, Wang, Schwartz, Luta, Maxwell, </w:t>
      </w:r>
      <w:r>
        <w:rPr/>
        <w:t>and Mandelblatt (2012) found that an educational video improved breast cancer screening knowledge and intentions among Chinese immigrant women. Furthermore, our results suggest</w:t>
      </w:r>
      <w:r>
        <w:rPr>
          <w:spacing w:val="25"/>
        </w:rPr>
        <w:t> </w:t>
      </w:r>
      <w:r>
        <w:rPr/>
        <w:t>that</w:t>
      </w:r>
      <w:r>
        <w:rPr>
          <w:spacing w:val="25"/>
        </w:rPr>
        <w:t> </w:t>
      </w:r>
      <w:r>
        <w:rPr/>
        <w:t>increasing</w:t>
      </w:r>
      <w:r>
        <w:rPr>
          <w:spacing w:val="25"/>
        </w:rPr>
        <w:t> </w:t>
      </w:r>
      <w:r>
        <w:rPr/>
        <w:t>knowledge</w:t>
      </w:r>
      <w:r>
        <w:rPr>
          <w:spacing w:val="25"/>
        </w:rPr>
        <w:t> </w:t>
      </w:r>
      <w:r>
        <w:rPr/>
        <w:t>of</w:t>
      </w:r>
      <w:r>
        <w:rPr>
          <w:spacing w:val="25"/>
        </w:rPr>
        <w:t> </w:t>
      </w:r>
      <w:r>
        <w:rPr>
          <w:spacing w:val="-2"/>
        </w:rPr>
        <w:t>screening</w:t>
      </w:r>
    </w:p>
    <w:p>
      <w:pPr>
        <w:spacing w:after="0"/>
        <w:jc w:val="both"/>
        <w:sectPr>
          <w:type w:val="continuous"/>
          <w:pgSz w:w="12240" w:h="15840"/>
          <w:pgMar w:header="723" w:footer="1065" w:top="1340" w:bottom="1260" w:left="1200" w:right="980"/>
          <w:cols w:num="2" w:equalWidth="0">
            <w:col w:w="4602" w:space="438"/>
            <w:col w:w="5020"/>
          </w:cols>
        </w:sectPr>
      </w:pPr>
    </w:p>
    <w:p>
      <w:pPr>
        <w:spacing w:before="82"/>
        <w:ind w:left="272" w:right="489" w:firstLine="0"/>
        <w:jc w:val="center"/>
        <w:rPr>
          <w:b/>
          <w:sz w:val="18"/>
        </w:rPr>
      </w:pPr>
      <w:r>
        <w:rPr>
          <w:b/>
          <w:sz w:val="18"/>
        </w:rPr>
        <w:t>Table </w:t>
      </w:r>
      <w:r>
        <w:rPr>
          <w:b/>
          <w:spacing w:val="-10"/>
          <w:sz w:val="18"/>
        </w:rPr>
        <w:t>4</w:t>
      </w:r>
    </w:p>
    <w:p>
      <w:pPr>
        <w:pStyle w:val="BodyText"/>
        <w:rPr>
          <w:b/>
          <w:sz w:val="18"/>
        </w:rPr>
      </w:pPr>
    </w:p>
    <w:p>
      <w:pPr>
        <w:spacing w:before="0"/>
        <w:ind w:left="2322" w:right="2539" w:firstLine="0"/>
        <w:jc w:val="center"/>
        <w:rPr>
          <w:b/>
          <w:sz w:val="18"/>
        </w:rPr>
      </w:pPr>
      <w:r>
        <w:rPr/>
        <mc:AlternateContent>
          <mc:Choice Requires="wps">
            <w:drawing>
              <wp:anchor distT="0" distB="0" distL="0" distR="0" allowOverlap="1" layoutInCell="1" locked="0" behindDoc="0" simplePos="0" relativeHeight="15731200">
                <wp:simplePos x="0" y="0"/>
                <wp:positionH relativeFrom="page">
                  <wp:posOffset>2205989</wp:posOffset>
                </wp:positionH>
                <wp:positionV relativeFrom="paragraph">
                  <wp:posOffset>263928</wp:posOffset>
                </wp:positionV>
                <wp:extent cx="3360420" cy="6350"/>
                <wp:effectExtent l="0" t="0" r="0" b="0"/>
                <wp:wrapNone/>
                <wp:docPr id="8" name="Graphic 8"/>
                <wp:cNvGraphicFramePr>
                  <a:graphicFrameLocks/>
                </wp:cNvGraphicFramePr>
                <a:graphic>
                  <a:graphicData uri="http://schemas.microsoft.com/office/word/2010/wordprocessingShape">
                    <wps:wsp>
                      <wps:cNvPr id="8" name="Graphic 8"/>
                      <wps:cNvSpPr/>
                      <wps:spPr>
                        <a:xfrm>
                          <a:off x="0" y="0"/>
                          <a:ext cx="3360420" cy="6350"/>
                        </a:xfrm>
                        <a:custGeom>
                          <a:avLst/>
                          <a:gdLst/>
                          <a:ahLst/>
                          <a:cxnLst/>
                          <a:rect l="l" t="t" r="r" b="b"/>
                          <a:pathLst>
                            <a:path w="3360420" h="6350">
                              <a:moveTo>
                                <a:pt x="3360420" y="0"/>
                              </a:moveTo>
                              <a:lnTo>
                                <a:pt x="0" y="0"/>
                              </a:lnTo>
                              <a:lnTo>
                                <a:pt x="0" y="6095"/>
                              </a:lnTo>
                              <a:lnTo>
                                <a:pt x="3360420" y="6095"/>
                              </a:lnTo>
                              <a:lnTo>
                                <a:pt x="336042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73.699997pt;margin-top:20.781797pt;width:264.6pt;height:.47998pt;mso-position-horizontal-relative:page;mso-position-vertical-relative:paragraph;z-index:15731200" id="docshape8" filled="true" fillcolor="#000000" stroked="false">
                <v:fill type="solid"/>
                <w10:wrap type="none"/>
              </v:rect>
            </w:pict>
          </mc:Fallback>
        </mc:AlternateContent>
      </w:r>
      <w:r>
        <w:rPr>
          <w:b/>
          <w:sz w:val="18"/>
        </w:rPr>
        <w:t>Logistic</w:t>
      </w:r>
      <w:r>
        <w:rPr>
          <w:b/>
          <w:spacing w:val="-6"/>
          <w:sz w:val="18"/>
        </w:rPr>
        <w:t> </w:t>
      </w:r>
      <w:r>
        <w:rPr>
          <w:b/>
          <w:sz w:val="18"/>
        </w:rPr>
        <w:t>regression</w:t>
      </w:r>
      <w:r>
        <w:rPr>
          <w:b/>
          <w:spacing w:val="-5"/>
          <w:sz w:val="18"/>
        </w:rPr>
        <w:t> </w:t>
      </w:r>
      <w:r>
        <w:rPr>
          <w:b/>
          <w:sz w:val="18"/>
        </w:rPr>
        <w:t>model</w:t>
      </w:r>
      <w:r>
        <w:rPr>
          <w:b/>
          <w:spacing w:val="-5"/>
          <w:sz w:val="18"/>
        </w:rPr>
        <w:t> </w:t>
      </w:r>
      <w:r>
        <w:rPr>
          <w:b/>
          <w:sz w:val="18"/>
        </w:rPr>
        <w:t>on</w:t>
      </w:r>
      <w:r>
        <w:rPr>
          <w:b/>
          <w:spacing w:val="-5"/>
          <w:sz w:val="18"/>
        </w:rPr>
        <w:t> </w:t>
      </w:r>
      <w:r>
        <w:rPr>
          <w:b/>
          <w:sz w:val="18"/>
        </w:rPr>
        <w:t>post-test</w:t>
      </w:r>
      <w:r>
        <w:rPr>
          <w:b/>
          <w:spacing w:val="-5"/>
          <w:sz w:val="18"/>
        </w:rPr>
        <w:t> </w:t>
      </w:r>
      <w:r>
        <w:rPr>
          <w:b/>
          <w:sz w:val="18"/>
        </w:rPr>
        <w:t>intentions</w:t>
      </w:r>
      <w:r>
        <w:rPr>
          <w:b/>
          <w:spacing w:val="-5"/>
          <w:sz w:val="18"/>
        </w:rPr>
        <w:t> </w:t>
      </w:r>
      <w:r>
        <w:rPr>
          <w:b/>
          <w:sz w:val="18"/>
        </w:rPr>
        <w:t>related</w:t>
      </w:r>
      <w:r>
        <w:rPr>
          <w:b/>
          <w:spacing w:val="-5"/>
          <w:sz w:val="18"/>
        </w:rPr>
        <w:t> </w:t>
      </w:r>
      <w:r>
        <w:rPr>
          <w:b/>
          <w:sz w:val="18"/>
        </w:rPr>
        <w:t>to significant independent variables</w:t>
      </w:r>
    </w:p>
    <w:p>
      <w:pPr>
        <w:spacing w:after="0"/>
        <w:jc w:val="center"/>
        <w:rPr>
          <w:sz w:val="18"/>
        </w:rPr>
        <w:sectPr>
          <w:pgSz w:w="12240" w:h="15840"/>
          <w:pgMar w:header="723" w:footer="1065" w:top="1340" w:bottom="1260" w:left="1200" w:right="980"/>
        </w:sectPr>
      </w:pPr>
    </w:p>
    <w:p>
      <w:pPr>
        <w:spacing w:before="6"/>
        <w:ind w:left="4435" w:right="0" w:firstLine="0"/>
        <w:jc w:val="center"/>
        <w:rPr>
          <w:sz w:val="18"/>
        </w:rPr>
      </w:pPr>
      <w:r>
        <w:rPr>
          <w:sz w:val="18"/>
        </w:rPr>
        <w:t>Plan to talk to doctor</w:t>
      </w:r>
      <w:r>
        <w:rPr>
          <w:spacing w:val="-12"/>
          <w:sz w:val="18"/>
        </w:rPr>
        <w:t> </w:t>
      </w:r>
      <w:r>
        <w:rPr>
          <w:sz w:val="18"/>
        </w:rPr>
        <w:t>about</w:t>
      </w:r>
      <w:r>
        <w:rPr>
          <w:spacing w:val="-11"/>
          <w:sz w:val="18"/>
        </w:rPr>
        <w:t> </w:t>
      </w:r>
      <w:r>
        <w:rPr>
          <w:sz w:val="18"/>
        </w:rPr>
        <w:t>CRC </w:t>
      </w:r>
      <w:r>
        <w:rPr>
          <w:spacing w:val="-2"/>
          <w:sz w:val="18"/>
        </w:rPr>
        <w:t>screening</w:t>
      </w:r>
    </w:p>
    <w:p>
      <w:pPr>
        <w:spacing w:before="6"/>
        <w:ind w:left="284" w:right="2691" w:hanging="16"/>
        <w:jc w:val="left"/>
        <w:rPr>
          <w:sz w:val="18"/>
        </w:rPr>
      </w:pPr>
      <w:r>
        <w:rPr/>
        <w:br w:type="column"/>
      </w:r>
      <w:r>
        <w:rPr>
          <w:sz w:val="18"/>
        </w:rPr>
        <w:t>Plan</w:t>
      </w:r>
      <w:r>
        <w:rPr>
          <w:spacing w:val="-12"/>
          <w:sz w:val="18"/>
        </w:rPr>
        <w:t> </w:t>
      </w:r>
      <w:r>
        <w:rPr>
          <w:sz w:val="18"/>
        </w:rPr>
        <w:t>to</w:t>
      </w:r>
      <w:r>
        <w:rPr>
          <w:spacing w:val="-11"/>
          <w:sz w:val="18"/>
        </w:rPr>
        <w:t> </w:t>
      </w:r>
      <w:r>
        <w:rPr>
          <w:sz w:val="18"/>
        </w:rPr>
        <w:t>participate in CRC </w:t>
      </w:r>
      <w:r>
        <w:rPr>
          <w:spacing w:val="-2"/>
          <w:sz w:val="18"/>
        </w:rPr>
        <w:t>screening</w:t>
      </w:r>
    </w:p>
    <w:p>
      <w:pPr>
        <w:spacing w:after="0"/>
        <w:jc w:val="left"/>
        <w:rPr>
          <w:sz w:val="18"/>
        </w:rPr>
        <w:sectPr>
          <w:type w:val="continuous"/>
          <w:pgSz w:w="12240" w:h="15840"/>
          <w:pgMar w:header="723" w:footer="1065" w:top="1340" w:bottom="1260" w:left="1200" w:right="980"/>
          <w:cols w:num="2" w:equalWidth="0">
            <w:col w:w="5747" w:space="40"/>
            <w:col w:w="4273"/>
          </w:cols>
        </w:sectPr>
      </w:pPr>
    </w:p>
    <w:p>
      <w:pPr>
        <w:pStyle w:val="BodyText"/>
        <w:spacing w:before="5"/>
        <w:rPr>
          <w:sz w:val="18"/>
        </w:rPr>
      </w:pPr>
    </w:p>
    <w:p>
      <w:pPr>
        <w:pStyle w:val="BodyText"/>
        <w:spacing w:line="20" w:lineRule="exact"/>
        <w:ind w:left="4326"/>
        <w:rPr>
          <w:sz w:val="2"/>
        </w:rPr>
      </w:pPr>
      <w:r>
        <w:rPr>
          <w:sz w:val="2"/>
        </w:rPr>
        <mc:AlternateContent>
          <mc:Choice Requires="wps">
            <w:drawing>
              <wp:inline distT="0" distB="0" distL="0" distR="0">
                <wp:extent cx="2057400" cy="6350"/>
                <wp:effectExtent l="0" t="0" r="0" b="0"/>
                <wp:docPr id="9" name="Group 9"/>
                <wp:cNvGraphicFramePr>
                  <a:graphicFrameLocks/>
                </wp:cNvGraphicFramePr>
                <a:graphic>
                  <a:graphicData uri="http://schemas.microsoft.com/office/word/2010/wordprocessingGroup">
                    <wpg:wgp>
                      <wpg:cNvPr id="9" name="Group 9"/>
                      <wpg:cNvGrpSpPr/>
                      <wpg:grpSpPr>
                        <a:xfrm>
                          <a:off x="0" y="0"/>
                          <a:ext cx="2057400" cy="6350"/>
                          <a:chExt cx="2057400" cy="6350"/>
                        </a:xfrm>
                      </wpg:grpSpPr>
                      <wps:wsp>
                        <wps:cNvPr id="10" name="Graphic 10"/>
                        <wps:cNvSpPr/>
                        <wps:spPr>
                          <a:xfrm>
                            <a:off x="0" y="0"/>
                            <a:ext cx="2057400" cy="6350"/>
                          </a:xfrm>
                          <a:custGeom>
                            <a:avLst/>
                            <a:gdLst/>
                            <a:ahLst/>
                            <a:cxnLst/>
                            <a:rect l="l" t="t" r="r" b="b"/>
                            <a:pathLst>
                              <a:path w="2057400" h="6350">
                                <a:moveTo>
                                  <a:pt x="2057400" y="0"/>
                                </a:moveTo>
                                <a:lnTo>
                                  <a:pt x="0" y="0"/>
                                </a:lnTo>
                                <a:lnTo>
                                  <a:pt x="0" y="6096"/>
                                </a:lnTo>
                                <a:lnTo>
                                  <a:pt x="2057400" y="6096"/>
                                </a:lnTo>
                                <a:lnTo>
                                  <a:pt x="205740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162pt;height:.5pt;mso-position-horizontal-relative:char;mso-position-vertical-relative:line" id="docshapegroup9" coordorigin="0,0" coordsize="3240,10">
                <v:rect style="position:absolute;left:0;top:0;width:3240;height:10" id="docshape10" filled="true" fillcolor="#000000" stroked="false">
                  <v:fill type="solid"/>
                </v:rect>
              </v:group>
            </w:pict>
          </mc:Fallback>
        </mc:AlternateContent>
      </w:r>
      <w:r>
        <w:rPr>
          <w:sz w:val="2"/>
        </w:rPr>
      </w:r>
    </w:p>
    <w:p>
      <w:pPr>
        <w:tabs>
          <w:tab w:pos="5180" w:val="left" w:leader="none"/>
          <w:tab w:pos="6205" w:val="left" w:leader="none"/>
          <w:tab w:pos="6845" w:val="left" w:leader="none"/>
        </w:tabs>
        <w:spacing w:before="0"/>
        <w:ind w:left="4630" w:right="0" w:firstLine="0"/>
        <w:jc w:val="left"/>
        <w:rPr>
          <w:sz w:val="18"/>
        </w:rPr>
      </w:pPr>
      <w:r>
        <w:rPr>
          <w:i/>
          <w:spacing w:val="-10"/>
          <w:sz w:val="18"/>
        </w:rPr>
        <w:t>B</w:t>
      </w:r>
      <w:r>
        <w:rPr>
          <w:i/>
          <w:sz w:val="18"/>
        </w:rPr>
        <w:tab/>
      </w:r>
      <w:r>
        <w:rPr>
          <w:spacing w:val="-2"/>
          <w:sz w:val="18"/>
        </w:rPr>
        <w:t>p-value</w:t>
      </w:r>
      <w:r>
        <w:rPr>
          <w:sz w:val="18"/>
        </w:rPr>
        <w:tab/>
      </w:r>
      <w:r>
        <w:rPr>
          <w:i/>
          <w:spacing w:val="-10"/>
          <w:sz w:val="18"/>
        </w:rPr>
        <w:t>B</w:t>
      </w:r>
      <w:r>
        <w:rPr>
          <w:i/>
          <w:sz w:val="18"/>
        </w:rPr>
        <w:tab/>
      </w:r>
      <w:r>
        <w:rPr>
          <w:spacing w:val="-2"/>
          <w:sz w:val="18"/>
        </w:rPr>
        <w:t>p-value</w:t>
      </w:r>
    </w:p>
    <w:p>
      <w:pPr>
        <w:pStyle w:val="BodyText"/>
        <w:spacing w:before="7"/>
        <w:rPr>
          <w:sz w:val="6"/>
        </w:rPr>
      </w:pPr>
    </w:p>
    <w:tbl>
      <w:tblPr>
        <w:tblW w:w="0" w:type="auto"/>
        <w:jc w:val="left"/>
        <w:tblInd w:w="22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101"/>
        <w:gridCol w:w="780"/>
        <w:gridCol w:w="810"/>
        <w:gridCol w:w="855"/>
        <w:gridCol w:w="760"/>
      </w:tblGrid>
      <w:tr>
        <w:trPr>
          <w:trHeight w:val="246" w:hRule="atLeast"/>
        </w:trPr>
        <w:tc>
          <w:tcPr>
            <w:tcW w:w="2101" w:type="dxa"/>
            <w:tcBorders>
              <w:top w:val="single" w:sz="4" w:space="0" w:color="000000"/>
            </w:tcBorders>
          </w:tcPr>
          <w:p>
            <w:pPr>
              <w:pStyle w:val="TableParagraph"/>
              <w:spacing w:line="202" w:lineRule="exact"/>
              <w:ind w:left="122"/>
              <w:rPr>
                <w:sz w:val="18"/>
              </w:rPr>
            </w:pPr>
            <w:r>
              <w:rPr>
                <w:spacing w:val="-2"/>
                <w:sz w:val="18"/>
              </w:rPr>
              <w:t>Gender</w:t>
            </w:r>
          </w:p>
        </w:tc>
        <w:tc>
          <w:tcPr>
            <w:tcW w:w="780" w:type="dxa"/>
            <w:tcBorders>
              <w:top w:val="single" w:sz="4" w:space="0" w:color="000000"/>
            </w:tcBorders>
          </w:tcPr>
          <w:p>
            <w:pPr>
              <w:pStyle w:val="TableParagraph"/>
              <w:spacing w:line="202" w:lineRule="exact"/>
              <w:ind w:right="200"/>
              <w:jc w:val="right"/>
              <w:rPr>
                <w:sz w:val="18"/>
              </w:rPr>
            </w:pPr>
            <w:r>
              <w:rPr>
                <w:sz w:val="18"/>
              </w:rPr>
              <w:t>-</w:t>
            </w:r>
            <w:r>
              <w:rPr>
                <w:spacing w:val="-10"/>
                <w:sz w:val="18"/>
              </w:rPr>
              <w:t>-</w:t>
            </w:r>
          </w:p>
        </w:tc>
        <w:tc>
          <w:tcPr>
            <w:tcW w:w="810" w:type="dxa"/>
            <w:tcBorders>
              <w:top w:val="single" w:sz="4" w:space="0" w:color="000000"/>
            </w:tcBorders>
          </w:tcPr>
          <w:p>
            <w:pPr>
              <w:pStyle w:val="TableParagraph"/>
              <w:spacing w:line="202" w:lineRule="exact"/>
              <w:ind w:right="200"/>
              <w:jc w:val="right"/>
              <w:rPr>
                <w:sz w:val="18"/>
              </w:rPr>
            </w:pPr>
            <w:r>
              <w:rPr>
                <w:sz w:val="18"/>
              </w:rPr>
              <w:t>-</w:t>
            </w:r>
            <w:r>
              <w:rPr>
                <w:spacing w:val="-10"/>
                <w:sz w:val="18"/>
              </w:rPr>
              <w:t>-</w:t>
            </w:r>
          </w:p>
        </w:tc>
        <w:tc>
          <w:tcPr>
            <w:tcW w:w="855" w:type="dxa"/>
            <w:tcBorders>
              <w:top w:val="single" w:sz="4" w:space="0" w:color="000000"/>
            </w:tcBorders>
          </w:tcPr>
          <w:p>
            <w:pPr>
              <w:pStyle w:val="TableParagraph"/>
              <w:spacing w:line="202" w:lineRule="exact"/>
              <w:ind w:right="244"/>
              <w:jc w:val="right"/>
              <w:rPr>
                <w:sz w:val="18"/>
              </w:rPr>
            </w:pPr>
            <w:r>
              <w:rPr>
                <w:sz w:val="18"/>
              </w:rPr>
              <w:t>-</w:t>
            </w:r>
            <w:r>
              <w:rPr>
                <w:spacing w:val="-4"/>
                <w:sz w:val="18"/>
              </w:rPr>
              <w:t>2.51</w:t>
            </w:r>
          </w:p>
        </w:tc>
        <w:tc>
          <w:tcPr>
            <w:tcW w:w="760" w:type="dxa"/>
            <w:tcBorders>
              <w:top w:val="single" w:sz="4" w:space="0" w:color="000000"/>
            </w:tcBorders>
          </w:tcPr>
          <w:p>
            <w:pPr>
              <w:pStyle w:val="TableParagraph"/>
              <w:spacing w:line="202" w:lineRule="exact"/>
              <w:ind w:right="104"/>
              <w:jc w:val="right"/>
              <w:rPr>
                <w:sz w:val="18"/>
              </w:rPr>
            </w:pPr>
            <w:r>
              <w:rPr>
                <w:spacing w:val="-4"/>
                <w:sz w:val="18"/>
              </w:rPr>
              <w:t>.001</w:t>
            </w:r>
          </w:p>
        </w:tc>
      </w:tr>
      <w:tr>
        <w:trPr>
          <w:trHeight w:val="243" w:hRule="atLeast"/>
        </w:trPr>
        <w:tc>
          <w:tcPr>
            <w:tcW w:w="2101" w:type="dxa"/>
          </w:tcPr>
          <w:p>
            <w:pPr>
              <w:pStyle w:val="TableParagraph"/>
              <w:spacing w:line="187" w:lineRule="exact" w:before="36"/>
              <w:ind w:left="122"/>
              <w:rPr>
                <w:sz w:val="18"/>
              </w:rPr>
            </w:pPr>
            <w:r>
              <w:rPr>
                <w:spacing w:val="-2"/>
                <w:sz w:val="18"/>
              </w:rPr>
              <w:t>Birthplace</w:t>
            </w:r>
          </w:p>
        </w:tc>
        <w:tc>
          <w:tcPr>
            <w:tcW w:w="780" w:type="dxa"/>
          </w:tcPr>
          <w:p>
            <w:pPr>
              <w:pStyle w:val="TableParagraph"/>
              <w:rPr>
                <w:sz w:val="16"/>
              </w:rPr>
            </w:pPr>
          </w:p>
        </w:tc>
        <w:tc>
          <w:tcPr>
            <w:tcW w:w="810" w:type="dxa"/>
          </w:tcPr>
          <w:p>
            <w:pPr>
              <w:pStyle w:val="TableParagraph"/>
              <w:rPr>
                <w:sz w:val="16"/>
              </w:rPr>
            </w:pPr>
          </w:p>
        </w:tc>
        <w:tc>
          <w:tcPr>
            <w:tcW w:w="855" w:type="dxa"/>
          </w:tcPr>
          <w:p>
            <w:pPr>
              <w:pStyle w:val="TableParagraph"/>
              <w:rPr>
                <w:sz w:val="16"/>
              </w:rPr>
            </w:pPr>
          </w:p>
        </w:tc>
        <w:tc>
          <w:tcPr>
            <w:tcW w:w="760" w:type="dxa"/>
          </w:tcPr>
          <w:p>
            <w:pPr>
              <w:pStyle w:val="TableParagraph"/>
              <w:rPr>
                <w:sz w:val="16"/>
              </w:rPr>
            </w:pPr>
          </w:p>
        </w:tc>
      </w:tr>
      <w:tr>
        <w:trPr>
          <w:trHeight w:val="210" w:hRule="atLeast"/>
        </w:trPr>
        <w:tc>
          <w:tcPr>
            <w:tcW w:w="2101" w:type="dxa"/>
          </w:tcPr>
          <w:p>
            <w:pPr>
              <w:pStyle w:val="TableParagraph"/>
              <w:spacing w:line="183" w:lineRule="exact"/>
              <w:ind w:left="356"/>
              <w:rPr>
                <w:sz w:val="18"/>
              </w:rPr>
            </w:pPr>
            <w:r>
              <w:rPr>
                <w:sz w:val="18"/>
              </w:rPr>
              <w:t>Outside</w:t>
            </w:r>
            <w:r>
              <w:rPr>
                <w:spacing w:val="-2"/>
                <w:sz w:val="18"/>
              </w:rPr>
              <w:t> </w:t>
            </w:r>
            <w:r>
              <w:rPr>
                <w:sz w:val="18"/>
              </w:rPr>
              <w:t>United</w:t>
            </w:r>
            <w:r>
              <w:rPr>
                <w:spacing w:val="-1"/>
                <w:sz w:val="18"/>
              </w:rPr>
              <w:t> </w:t>
            </w:r>
            <w:r>
              <w:rPr>
                <w:spacing w:val="-2"/>
                <w:sz w:val="18"/>
              </w:rPr>
              <w:t>States</w:t>
            </w:r>
          </w:p>
        </w:tc>
        <w:tc>
          <w:tcPr>
            <w:tcW w:w="780" w:type="dxa"/>
          </w:tcPr>
          <w:p>
            <w:pPr>
              <w:pStyle w:val="TableParagraph"/>
              <w:spacing w:line="183" w:lineRule="exact"/>
              <w:ind w:right="199"/>
              <w:jc w:val="right"/>
              <w:rPr>
                <w:sz w:val="18"/>
              </w:rPr>
            </w:pPr>
            <w:r>
              <w:rPr>
                <w:spacing w:val="-2"/>
                <w:sz w:val="18"/>
              </w:rPr>
              <w:t>21.05</w:t>
            </w:r>
          </w:p>
        </w:tc>
        <w:tc>
          <w:tcPr>
            <w:tcW w:w="810" w:type="dxa"/>
          </w:tcPr>
          <w:p>
            <w:pPr>
              <w:pStyle w:val="TableParagraph"/>
              <w:spacing w:line="183" w:lineRule="exact"/>
              <w:ind w:right="199"/>
              <w:jc w:val="right"/>
              <w:rPr>
                <w:sz w:val="18"/>
              </w:rPr>
            </w:pPr>
            <w:r>
              <w:rPr>
                <w:spacing w:val="-2"/>
                <w:sz w:val="18"/>
              </w:rPr>
              <w:t>0.998</w:t>
            </w:r>
          </w:p>
        </w:tc>
        <w:tc>
          <w:tcPr>
            <w:tcW w:w="855" w:type="dxa"/>
          </w:tcPr>
          <w:p>
            <w:pPr>
              <w:pStyle w:val="TableParagraph"/>
              <w:spacing w:line="183" w:lineRule="exact"/>
              <w:ind w:right="244"/>
              <w:jc w:val="right"/>
              <w:rPr>
                <w:sz w:val="18"/>
              </w:rPr>
            </w:pPr>
            <w:r>
              <w:rPr>
                <w:spacing w:val="-2"/>
                <w:sz w:val="18"/>
              </w:rPr>
              <w:t>22.94</w:t>
            </w:r>
          </w:p>
        </w:tc>
        <w:tc>
          <w:tcPr>
            <w:tcW w:w="760" w:type="dxa"/>
          </w:tcPr>
          <w:p>
            <w:pPr>
              <w:pStyle w:val="TableParagraph"/>
              <w:spacing w:line="183" w:lineRule="exact"/>
              <w:ind w:right="104"/>
              <w:jc w:val="right"/>
              <w:rPr>
                <w:sz w:val="18"/>
              </w:rPr>
            </w:pPr>
            <w:r>
              <w:rPr>
                <w:spacing w:val="-2"/>
                <w:sz w:val="18"/>
              </w:rPr>
              <w:t>0.998</w:t>
            </w:r>
          </w:p>
        </w:tc>
      </w:tr>
      <w:tr>
        <w:trPr>
          <w:trHeight w:val="247" w:hRule="atLeast"/>
        </w:trPr>
        <w:tc>
          <w:tcPr>
            <w:tcW w:w="2101" w:type="dxa"/>
          </w:tcPr>
          <w:p>
            <w:pPr>
              <w:pStyle w:val="TableParagraph"/>
              <w:spacing w:line="203" w:lineRule="exact"/>
              <w:ind w:left="122"/>
              <w:rPr>
                <w:sz w:val="18"/>
              </w:rPr>
            </w:pPr>
            <w:r>
              <w:rPr>
                <w:sz w:val="18"/>
              </w:rPr>
              <w:t>Received</w:t>
            </w:r>
            <w:r>
              <w:rPr>
                <w:spacing w:val="-3"/>
                <w:sz w:val="18"/>
              </w:rPr>
              <w:t> </w:t>
            </w:r>
            <w:r>
              <w:rPr>
                <w:sz w:val="18"/>
              </w:rPr>
              <w:t>a </w:t>
            </w:r>
            <w:r>
              <w:rPr>
                <w:spacing w:val="-2"/>
                <w:sz w:val="18"/>
              </w:rPr>
              <w:t>referral</w:t>
            </w:r>
          </w:p>
        </w:tc>
        <w:tc>
          <w:tcPr>
            <w:tcW w:w="780" w:type="dxa"/>
          </w:tcPr>
          <w:p>
            <w:pPr>
              <w:pStyle w:val="TableParagraph"/>
              <w:spacing w:line="203" w:lineRule="exact"/>
              <w:ind w:right="201"/>
              <w:jc w:val="right"/>
              <w:rPr>
                <w:sz w:val="18"/>
              </w:rPr>
            </w:pPr>
            <w:r>
              <w:rPr>
                <w:sz w:val="18"/>
              </w:rPr>
              <w:t>-</w:t>
            </w:r>
            <w:r>
              <w:rPr>
                <w:spacing w:val="-10"/>
                <w:sz w:val="18"/>
              </w:rPr>
              <w:t>-</w:t>
            </w:r>
          </w:p>
        </w:tc>
        <w:tc>
          <w:tcPr>
            <w:tcW w:w="810" w:type="dxa"/>
          </w:tcPr>
          <w:p>
            <w:pPr>
              <w:pStyle w:val="TableParagraph"/>
              <w:spacing w:line="203" w:lineRule="exact"/>
              <w:ind w:right="201"/>
              <w:jc w:val="right"/>
              <w:rPr>
                <w:sz w:val="18"/>
              </w:rPr>
            </w:pPr>
            <w:r>
              <w:rPr>
                <w:sz w:val="18"/>
              </w:rPr>
              <w:t>-</w:t>
            </w:r>
            <w:r>
              <w:rPr>
                <w:spacing w:val="-10"/>
                <w:sz w:val="18"/>
              </w:rPr>
              <w:t>-</w:t>
            </w:r>
          </w:p>
        </w:tc>
        <w:tc>
          <w:tcPr>
            <w:tcW w:w="855" w:type="dxa"/>
          </w:tcPr>
          <w:p>
            <w:pPr>
              <w:pStyle w:val="TableParagraph"/>
              <w:spacing w:line="203" w:lineRule="exact"/>
              <w:ind w:right="246"/>
              <w:jc w:val="right"/>
              <w:rPr>
                <w:sz w:val="18"/>
              </w:rPr>
            </w:pPr>
            <w:r>
              <w:rPr>
                <w:sz w:val="18"/>
              </w:rPr>
              <w:t>-</w:t>
            </w:r>
            <w:r>
              <w:rPr>
                <w:spacing w:val="-10"/>
                <w:sz w:val="18"/>
              </w:rPr>
              <w:t>-</w:t>
            </w:r>
          </w:p>
        </w:tc>
        <w:tc>
          <w:tcPr>
            <w:tcW w:w="760" w:type="dxa"/>
          </w:tcPr>
          <w:p>
            <w:pPr>
              <w:pStyle w:val="TableParagraph"/>
              <w:spacing w:line="203" w:lineRule="exact"/>
              <w:ind w:right="106"/>
              <w:jc w:val="right"/>
              <w:rPr>
                <w:sz w:val="18"/>
              </w:rPr>
            </w:pPr>
            <w:r>
              <w:rPr>
                <w:sz w:val="18"/>
              </w:rPr>
              <w:t>-</w:t>
            </w:r>
            <w:r>
              <w:rPr>
                <w:spacing w:val="-10"/>
                <w:sz w:val="18"/>
              </w:rPr>
              <w:t>-</w:t>
            </w:r>
          </w:p>
        </w:tc>
      </w:tr>
      <w:tr>
        <w:trPr>
          <w:trHeight w:val="455" w:hRule="atLeast"/>
        </w:trPr>
        <w:tc>
          <w:tcPr>
            <w:tcW w:w="2101" w:type="dxa"/>
            <w:tcBorders>
              <w:bottom w:val="single" w:sz="4" w:space="0" w:color="000000"/>
            </w:tcBorders>
          </w:tcPr>
          <w:p>
            <w:pPr>
              <w:pStyle w:val="TableParagraph"/>
              <w:spacing w:line="206" w:lineRule="exact" w:before="23"/>
              <w:ind w:left="122" w:right="407"/>
              <w:rPr>
                <w:sz w:val="18"/>
              </w:rPr>
            </w:pPr>
            <w:r>
              <w:rPr>
                <w:sz w:val="18"/>
              </w:rPr>
              <w:t>Change</w:t>
            </w:r>
            <w:r>
              <w:rPr>
                <w:spacing w:val="-12"/>
                <w:sz w:val="18"/>
              </w:rPr>
              <w:t> </w:t>
            </w:r>
            <w:r>
              <w:rPr>
                <w:sz w:val="18"/>
              </w:rPr>
              <w:t>in</w:t>
            </w:r>
            <w:r>
              <w:rPr>
                <w:spacing w:val="-11"/>
                <w:sz w:val="18"/>
              </w:rPr>
              <w:t> </w:t>
            </w:r>
            <w:r>
              <w:rPr>
                <w:sz w:val="18"/>
              </w:rPr>
              <w:t>knowledge </w:t>
            </w:r>
            <w:r>
              <w:rPr>
                <w:spacing w:val="-2"/>
                <w:sz w:val="18"/>
              </w:rPr>
              <w:t>scores</w:t>
            </w:r>
          </w:p>
        </w:tc>
        <w:tc>
          <w:tcPr>
            <w:tcW w:w="780" w:type="dxa"/>
            <w:tcBorders>
              <w:bottom w:val="single" w:sz="4" w:space="0" w:color="000000"/>
            </w:tcBorders>
          </w:tcPr>
          <w:p>
            <w:pPr>
              <w:pStyle w:val="TableParagraph"/>
              <w:spacing w:before="36"/>
              <w:ind w:right="199"/>
              <w:jc w:val="right"/>
              <w:rPr>
                <w:sz w:val="18"/>
              </w:rPr>
            </w:pPr>
            <w:r>
              <w:rPr>
                <w:spacing w:val="-4"/>
                <w:sz w:val="18"/>
              </w:rPr>
              <w:t>2.11</w:t>
            </w:r>
          </w:p>
        </w:tc>
        <w:tc>
          <w:tcPr>
            <w:tcW w:w="810" w:type="dxa"/>
            <w:tcBorders>
              <w:bottom w:val="single" w:sz="4" w:space="0" w:color="000000"/>
            </w:tcBorders>
          </w:tcPr>
          <w:p>
            <w:pPr>
              <w:pStyle w:val="TableParagraph"/>
              <w:spacing w:before="36"/>
              <w:ind w:right="199"/>
              <w:jc w:val="right"/>
              <w:rPr>
                <w:sz w:val="18"/>
              </w:rPr>
            </w:pPr>
            <w:r>
              <w:rPr>
                <w:spacing w:val="-4"/>
                <w:sz w:val="18"/>
              </w:rPr>
              <w:t>.000</w:t>
            </w:r>
          </w:p>
        </w:tc>
        <w:tc>
          <w:tcPr>
            <w:tcW w:w="855" w:type="dxa"/>
            <w:tcBorders>
              <w:bottom w:val="single" w:sz="4" w:space="0" w:color="000000"/>
            </w:tcBorders>
          </w:tcPr>
          <w:p>
            <w:pPr>
              <w:pStyle w:val="TableParagraph"/>
              <w:spacing w:before="36"/>
              <w:ind w:right="244"/>
              <w:jc w:val="right"/>
              <w:rPr>
                <w:sz w:val="18"/>
              </w:rPr>
            </w:pPr>
            <w:r>
              <w:rPr>
                <w:spacing w:val="-4"/>
                <w:sz w:val="18"/>
              </w:rPr>
              <w:t>2.49</w:t>
            </w:r>
          </w:p>
        </w:tc>
        <w:tc>
          <w:tcPr>
            <w:tcW w:w="760" w:type="dxa"/>
            <w:tcBorders>
              <w:bottom w:val="single" w:sz="4" w:space="0" w:color="000000"/>
            </w:tcBorders>
          </w:tcPr>
          <w:p>
            <w:pPr>
              <w:pStyle w:val="TableParagraph"/>
              <w:spacing w:before="36"/>
              <w:ind w:right="104"/>
              <w:jc w:val="right"/>
              <w:rPr>
                <w:sz w:val="18"/>
              </w:rPr>
            </w:pPr>
            <w:r>
              <w:rPr>
                <w:spacing w:val="-4"/>
                <w:sz w:val="18"/>
              </w:rPr>
              <w:t>.000</w:t>
            </w:r>
          </w:p>
        </w:tc>
      </w:tr>
    </w:tbl>
    <w:p>
      <w:pPr>
        <w:spacing w:before="0"/>
        <w:ind w:left="2400" w:right="0" w:firstLine="0"/>
        <w:jc w:val="left"/>
        <w:rPr>
          <w:sz w:val="18"/>
        </w:rPr>
      </w:pPr>
      <w:r>
        <w:rPr>
          <w:sz w:val="18"/>
        </w:rPr>
        <w:t>An</w:t>
      </w:r>
      <w:r>
        <w:rPr>
          <w:spacing w:val="-1"/>
          <w:sz w:val="18"/>
        </w:rPr>
        <w:t> </w:t>
      </w:r>
      <w:r>
        <w:rPr>
          <w:sz w:val="18"/>
        </w:rPr>
        <w:t>“—“</w:t>
      </w:r>
      <w:r>
        <w:rPr>
          <w:spacing w:val="-2"/>
          <w:sz w:val="18"/>
        </w:rPr>
        <w:t> </w:t>
      </w:r>
      <w:r>
        <w:rPr>
          <w:sz w:val="18"/>
        </w:rPr>
        <w:t>indicates</w:t>
      </w:r>
      <w:r>
        <w:rPr>
          <w:spacing w:val="-1"/>
          <w:sz w:val="18"/>
        </w:rPr>
        <w:t> </w:t>
      </w:r>
      <w:r>
        <w:rPr>
          <w:sz w:val="18"/>
        </w:rPr>
        <w:t>variables</w:t>
      </w:r>
      <w:r>
        <w:rPr>
          <w:spacing w:val="-2"/>
          <w:sz w:val="18"/>
        </w:rPr>
        <w:t> </w:t>
      </w:r>
      <w:r>
        <w:rPr>
          <w:sz w:val="18"/>
        </w:rPr>
        <w:t>that</w:t>
      </w:r>
      <w:r>
        <w:rPr>
          <w:spacing w:val="-4"/>
          <w:sz w:val="18"/>
        </w:rPr>
        <w:t> </w:t>
      </w:r>
      <w:r>
        <w:rPr>
          <w:sz w:val="18"/>
        </w:rPr>
        <w:t>were</w:t>
      </w:r>
      <w:r>
        <w:rPr>
          <w:spacing w:val="-1"/>
          <w:sz w:val="18"/>
        </w:rPr>
        <w:t> </w:t>
      </w:r>
      <w:r>
        <w:rPr>
          <w:sz w:val="18"/>
        </w:rPr>
        <w:t>not included</w:t>
      </w:r>
      <w:r>
        <w:rPr>
          <w:spacing w:val="-1"/>
          <w:sz w:val="18"/>
        </w:rPr>
        <w:t> </w:t>
      </w:r>
      <w:r>
        <w:rPr>
          <w:sz w:val="18"/>
        </w:rPr>
        <w:t>in</w:t>
      </w:r>
      <w:r>
        <w:rPr>
          <w:spacing w:val="-2"/>
          <w:sz w:val="18"/>
        </w:rPr>
        <w:t> </w:t>
      </w:r>
      <w:r>
        <w:rPr>
          <w:sz w:val="18"/>
        </w:rPr>
        <w:t>the </w:t>
      </w:r>
      <w:r>
        <w:rPr>
          <w:spacing w:val="-2"/>
          <w:sz w:val="18"/>
        </w:rPr>
        <w:t>equation</w:t>
      </w:r>
    </w:p>
    <w:p>
      <w:pPr>
        <w:pStyle w:val="BodyText"/>
        <w:spacing w:before="8"/>
        <w:rPr>
          <w:sz w:val="13"/>
        </w:rPr>
      </w:pPr>
    </w:p>
    <w:p>
      <w:pPr>
        <w:spacing w:after="0"/>
        <w:rPr>
          <w:sz w:val="13"/>
        </w:rPr>
        <w:sectPr>
          <w:type w:val="continuous"/>
          <w:pgSz w:w="12240" w:h="15840"/>
          <w:pgMar w:header="723" w:footer="1065" w:top="1340" w:bottom="1260" w:left="1200" w:right="980"/>
        </w:sectPr>
      </w:pPr>
    </w:p>
    <w:p>
      <w:pPr>
        <w:pStyle w:val="BodyText"/>
        <w:spacing w:before="90"/>
        <w:ind w:left="239" w:right="38"/>
        <w:jc w:val="both"/>
      </w:pPr>
      <w:r>
        <w:rPr/>
        <w:t>can lead to future intentions in CRC screening. These findings underscore the importance of understanding and addressing knowledge and beliefs that Chamorros and other Pacific Islanders have concerning CRC screening. Future research should focus on whether intentions lead to actual receipt of CRC </w:t>
      </w:r>
      <w:r>
        <w:rPr>
          <w:spacing w:val="-2"/>
        </w:rPr>
        <w:t>screening.</w:t>
      </w:r>
    </w:p>
    <w:p>
      <w:pPr>
        <w:pStyle w:val="BodyText"/>
        <w:spacing w:before="2"/>
      </w:pPr>
    </w:p>
    <w:p>
      <w:pPr>
        <w:pStyle w:val="Heading2"/>
      </w:pPr>
      <w:r>
        <w:rPr>
          <w:spacing w:val="-2"/>
        </w:rPr>
        <w:t>Limitations</w:t>
      </w:r>
    </w:p>
    <w:p>
      <w:pPr>
        <w:pStyle w:val="BodyText"/>
        <w:ind w:left="240" w:right="38"/>
        <w:jc w:val="both"/>
      </w:pPr>
      <w:r>
        <w:rPr/>
        <w:t>There are some limitations to this study that should be considered. First, there was no control group</w:t>
      </w:r>
      <w:r>
        <w:rPr>
          <w:spacing w:val="-3"/>
        </w:rPr>
        <w:t> </w:t>
      </w:r>
      <w:r>
        <w:rPr/>
        <w:t>for</w:t>
      </w:r>
      <w:r>
        <w:rPr>
          <w:spacing w:val="-3"/>
        </w:rPr>
        <w:t> </w:t>
      </w:r>
      <w:r>
        <w:rPr/>
        <w:t>this</w:t>
      </w:r>
      <w:r>
        <w:rPr>
          <w:spacing w:val="-5"/>
        </w:rPr>
        <w:t> </w:t>
      </w:r>
      <w:r>
        <w:rPr/>
        <w:t>study</w:t>
      </w:r>
      <w:r>
        <w:rPr>
          <w:spacing w:val="-1"/>
        </w:rPr>
        <w:t> </w:t>
      </w:r>
      <w:r>
        <w:rPr/>
        <w:t>and</w:t>
      </w:r>
      <w:r>
        <w:rPr>
          <w:spacing w:val="-3"/>
        </w:rPr>
        <w:t> </w:t>
      </w:r>
      <w:r>
        <w:rPr/>
        <w:t>the</w:t>
      </w:r>
      <w:r>
        <w:rPr>
          <w:spacing w:val="-3"/>
        </w:rPr>
        <w:t> </w:t>
      </w:r>
      <w:r>
        <w:rPr/>
        <w:t>data</w:t>
      </w:r>
      <w:r>
        <w:rPr>
          <w:spacing w:val="-3"/>
        </w:rPr>
        <w:t> </w:t>
      </w:r>
      <w:r>
        <w:rPr/>
        <w:t>obtained</w:t>
      </w:r>
      <w:r>
        <w:rPr>
          <w:spacing w:val="-3"/>
        </w:rPr>
        <w:t> </w:t>
      </w:r>
      <w:r>
        <w:rPr/>
        <w:t>is</w:t>
      </w:r>
      <w:r>
        <w:rPr>
          <w:spacing w:val="-3"/>
        </w:rPr>
        <w:t> </w:t>
      </w:r>
      <w:r>
        <w:rPr/>
        <w:t>self- reported and the study is based on a non- probability, community-based sample. Furthermore, findings may not be generalized to men and to non-Chamorro Pacific Islanders outside of Orange County. This study, however, is unique and contributes to the literature for future educational interventions targeting screening behaviors in Chamorro and other Pacific Islanders.</w:t>
      </w:r>
    </w:p>
    <w:p>
      <w:pPr>
        <w:pStyle w:val="BodyText"/>
      </w:pPr>
    </w:p>
    <w:p>
      <w:pPr>
        <w:pStyle w:val="Heading2"/>
      </w:pPr>
      <w:r>
        <w:rPr>
          <w:spacing w:val="-2"/>
        </w:rPr>
        <w:t>Conclusion</w:t>
      </w:r>
    </w:p>
    <w:p>
      <w:pPr>
        <w:pStyle w:val="BodyText"/>
        <w:ind w:left="240" w:right="39"/>
        <w:jc w:val="both"/>
      </w:pPr>
      <w:r>
        <w:rPr/>
        <w:t>This study provides preliminary evidence that</w:t>
      </w:r>
      <w:r>
        <w:rPr>
          <w:spacing w:val="40"/>
        </w:rPr>
        <w:t> </w:t>
      </w:r>
      <w:r>
        <w:rPr/>
        <w:t>the cultural appropriateness of the recruitment, education</w:t>
      </w:r>
      <w:r>
        <w:rPr>
          <w:spacing w:val="54"/>
        </w:rPr>
        <w:t> </w:t>
      </w:r>
      <w:r>
        <w:rPr/>
        <w:t>and</w:t>
      </w:r>
      <w:r>
        <w:rPr>
          <w:spacing w:val="55"/>
        </w:rPr>
        <w:t> </w:t>
      </w:r>
      <w:r>
        <w:rPr/>
        <w:t>overall</w:t>
      </w:r>
      <w:r>
        <w:rPr>
          <w:spacing w:val="55"/>
        </w:rPr>
        <w:t> </w:t>
      </w:r>
      <w:r>
        <w:rPr/>
        <w:t>intervention</w:t>
      </w:r>
      <w:r>
        <w:rPr>
          <w:spacing w:val="55"/>
        </w:rPr>
        <w:t> </w:t>
      </w:r>
      <w:r>
        <w:rPr>
          <w:spacing w:val="-2"/>
        </w:rPr>
        <w:t>contributed</w:t>
      </w:r>
    </w:p>
    <w:p>
      <w:pPr>
        <w:pStyle w:val="BodyText"/>
        <w:spacing w:before="90"/>
        <w:ind w:left="240" w:right="456"/>
        <w:jc w:val="both"/>
      </w:pPr>
      <w:r>
        <w:rPr/>
        <w:br w:type="column"/>
      </w:r>
      <w:r>
        <w:rPr/>
        <w:t>largely to its success. It allowed the CHEs to gain access to the communities and to gain a trusting, working relationship among</w:t>
      </w:r>
      <w:r>
        <w:rPr>
          <w:spacing w:val="80"/>
        </w:rPr>
        <w:t> </w:t>
      </w:r>
      <w:r>
        <w:rPr/>
        <w:t>community members. Moreover, within the Pacific Islander culture there are norms and taboos</w:t>
      </w:r>
      <w:r>
        <w:rPr>
          <w:spacing w:val="-2"/>
        </w:rPr>
        <w:t> </w:t>
      </w:r>
      <w:r>
        <w:rPr/>
        <w:t>with</w:t>
      </w:r>
      <w:r>
        <w:rPr>
          <w:spacing w:val="-2"/>
        </w:rPr>
        <w:t> </w:t>
      </w:r>
      <w:r>
        <w:rPr/>
        <w:t>regards</w:t>
      </w:r>
      <w:r>
        <w:rPr>
          <w:spacing w:val="-2"/>
        </w:rPr>
        <w:t> </w:t>
      </w:r>
      <w:r>
        <w:rPr/>
        <w:t>to</w:t>
      </w:r>
      <w:r>
        <w:rPr>
          <w:spacing w:val="-2"/>
        </w:rPr>
        <w:t> </w:t>
      </w:r>
      <w:r>
        <w:rPr/>
        <w:t>speaking</w:t>
      </w:r>
      <w:r>
        <w:rPr>
          <w:spacing w:val="-2"/>
        </w:rPr>
        <w:t> </w:t>
      </w:r>
      <w:r>
        <w:rPr/>
        <w:t>about</w:t>
      </w:r>
      <w:r>
        <w:rPr>
          <w:spacing w:val="-2"/>
        </w:rPr>
        <w:t> </w:t>
      </w:r>
      <w:r>
        <w:rPr/>
        <w:t>health</w:t>
      </w:r>
      <w:r>
        <w:rPr>
          <w:spacing w:val="-2"/>
        </w:rPr>
        <w:t> </w:t>
      </w:r>
      <w:r>
        <w:rPr/>
        <w:t>and the body. Therefore, the cultural appropriateness of the intervention addressed these cultural and linguistic barriers, thereby allowing greater access to the community, and greater understanding within the community.</w:t>
      </w:r>
    </w:p>
    <w:p>
      <w:pPr>
        <w:pStyle w:val="BodyText"/>
        <w:spacing w:before="1"/>
      </w:pPr>
    </w:p>
    <w:p>
      <w:pPr>
        <w:pStyle w:val="Heading2"/>
        <w:spacing w:before="1"/>
      </w:pPr>
      <w:r>
        <w:rPr>
          <w:spacing w:val="-2"/>
        </w:rPr>
        <w:t>Acknowledgements</w:t>
      </w:r>
    </w:p>
    <w:p>
      <w:pPr>
        <w:pStyle w:val="BodyText"/>
        <w:ind w:left="240" w:right="456"/>
        <w:jc w:val="both"/>
      </w:pPr>
      <w:r>
        <w:rPr/>
        <w:t>The authors thank the following people for their contribution to this project: Greta Briand, Keith Castro, Dorothy Vaivao, staff from </w:t>
      </w:r>
      <w:r>
        <w:rPr/>
        <w:t>Guam Communications Network, staff from Pacific Islander Health Partnership, and staff from St. Joseph Hospital of Orange. This project was supported by grant number 1U54CA153458 from the National Cancer Institute, Center to Reduce Cancer Health Disparities (NCI CRCHD) and grant number 10AT1093 from SAIC-Frederick, Inc. The contents are solely the responsibility of the authors and do not necessarily represent the official views of the NCI CRCHD or SAIC-Frederick, Inc.</w:t>
      </w:r>
    </w:p>
    <w:p>
      <w:pPr>
        <w:spacing w:after="0"/>
        <w:jc w:val="both"/>
        <w:sectPr>
          <w:type w:val="continuous"/>
          <w:pgSz w:w="12240" w:h="15840"/>
          <w:pgMar w:header="723" w:footer="1065" w:top="1340" w:bottom="1260" w:left="1200" w:right="980"/>
          <w:cols w:num="2" w:equalWidth="0">
            <w:col w:w="4603" w:space="437"/>
            <w:col w:w="5020"/>
          </w:cols>
        </w:sectPr>
      </w:pPr>
    </w:p>
    <w:p>
      <w:pPr>
        <w:pStyle w:val="BodyText"/>
      </w:pPr>
    </w:p>
    <w:p>
      <w:pPr>
        <w:pStyle w:val="Heading2"/>
      </w:pPr>
      <w:r>
        <w:rPr>
          <w:spacing w:val="-2"/>
        </w:rPr>
        <w:t>References</w:t>
      </w:r>
    </w:p>
    <w:p>
      <w:pPr>
        <w:spacing w:line="252" w:lineRule="exact" w:before="0"/>
        <w:ind w:left="240" w:right="0" w:firstLine="0"/>
        <w:jc w:val="left"/>
        <w:rPr>
          <w:sz w:val="22"/>
        </w:rPr>
      </w:pPr>
      <w:r>
        <w:rPr>
          <w:sz w:val="22"/>
        </w:rPr>
        <w:t>Agency</w:t>
      </w:r>
      <w:r>
        <w:rPr>
          <w:spacing w:val="-6"/>
          <w:sz w:val="22"/>
        </w:rPr>
        <w:t> </w:t>
      </w:r>
      <w:r>
        <w:rPr>
          <w:sz w:val="22"/>
        </w:rPr>
        <w:t>for</w:t>
      </w:r>
      <w:r>
        <w:rPr>
          <w:spacing w:val="-7"/>
          <w:sz w:val="22"/>
        </w:rPr>
        <w:t> </w:t>
      </w:r>
      <w:r>
        <w:rPr>
          <w:sz w:val="22"/>
        </w:rPr>
        <w:t>Healthcare</w:t>
      </w:r>
      <w:r>
        <w:rPr>
          <w:spacing w:val="-6"/>
          <w:sz w:val="22"/>
        </w:rPr>
        <w:t> </w:t>
      </w:r>
      <w:r>
        <w:rPr>
          <w:sz w:val="22"/>
        </w:rPr>
        <w:t>Research</w:t>
      </w:r>
      <w:r>
        <w:rPr>
          <w:spacing w:val="-7"/>
          <w:sz w:val="22"/>
        </w:rPr>
        <w:t> </w:t>
      </w:r>
      <w:r>
        <w:rPr>
          <w:sz w:val="22"/>
        </w:rPr>
        <w:t>and</w:t>
      </w:r>
      <w:r>
        <w:rPr>
          <w:spacing w:val="-8"/>
          <w:sz w:val="22"/>
        </w:rPr>
        <w:t> </w:t>
      </w:r>
      <w:r>
        <w:rPr>
          <w:sz w:val="22"/>
        </w:rPr>
        <w:t>Quality.</w:t>
      </w:r>
      <w:r>
        <w:rPr>
          <w:spacing w:val="-7"/>
          <w:sz w:val="22"/>
        </w:rPr>
        <w:t> </w:t>
      </w:r>
      <w:r>
        <w:rPr>
          <w:sz w:val="22"/>
        </w:rPr>
        <w:t>(2010).</w:t>
      </w:r>
      <w:r>
        <w:rPr>
          <w:spacing w:val="-8"/>
          <w:sz w:val="22"/>
        </w:rPr>
        <w:t> </w:t>
      </w:r>
      <w:r>
        <w:rPr>
          <w:i/>
          <w:sz w:val="22"/>
        </w:rPr>
        <w:t>National</w:t>
      </w:r>
      <w:r>
        <w:rPr>
          <w:i/>
          <w:spacing w:val="-7"/>
          <w:sz w:val="22"/>
        </w:rPr>
        <w:t> </w:t>
      </w:r>
      <w:r>
        <w:rPr>
          <w:i/>
          <w:sz w:val="22"/>
        </w:rPr>
        <w:t>Healthcare</w:t>
      </w:r>
      <w:r>
        <w:rPr>
          <w:i/>
          <w:spacing w:val="-7"/>
          <w:sz w:val="22"/>
        </w:rPr>
        <w:t> </w:t>
      </w:r>
      <w:r>
        <w:rPr>
          <w:i/>
          <w:sz w:val="22"/>
        </w:rPr>
        <w:t>Disparities</w:t>
      </w:r>
      <w:r>
        <w:rPr>
          <w:i/>
          <w:spacing w:val="-7"/>
          <w:sz w:val="22"/>
        </w:rPr>
        <w:t> </w:t>
      </w:r>
      <w:r>
        <w:rPr>
          <w:i/>
          <w:sz w:val="22"/>
        </w:rPr>
        <w:t>Report,</w:t>
      </w:r>
      <w:r>
        <w:rPr>
          <w:i/>
          <w:spacing w:val="-7"/>
          <w:sz w:val="22"/>
        </w:rPr>
        <w:t> </w:t>
      </w:r>
      <w:r>
        <w:rPr>
          <w:i/>
          <w:spacing w:val="-2"/>
          <w:sz w:val="22"/>
        </w:rPr>
        <w:t>2009</w:t>
      </w:r>
      <w:r>
        <w:rPr>
          <w:spacing w:val="-2"/>
          <w:sz w:val="22"/>
        </w:rPr>
        <w:t>.</w:t>
      </w:r>
    </w:p>
    <w:p>
      <w:pPr>
        <w:pStyle w:val="BodyText"/>
        <w:ind w:left="960" w:right="579"/>
      </w:pPr>
      <w:r>
        <w:rPr/>
        <w:t>Rockville,</w:t>
      </w:r>
      <w:r>
        <w:rPr>
          <w:spacing w:val="-4"/>
        </w:rPr>
        <w:t> </w:t>
      </w:r>
      <w:r>
        <w:rPr/>
        <w:t>MD:</w:t>
      </w:r>
      <w:r>
        <w:rPr>
          <w:spacing w:val="-4"/>
        </w:rPr>
        <w:t> </w:t>
      </w:r>
      <w:r>
        <w:rPr/>
        <w:t>U.S.</w:t>
      </w:r>
      <w:r>
        <w:rPr>
          <w:spacing w:val="-4"/>
        </w:rPr>
        <w:t> </w:t>
      </w:r>
      <w:r>
        <w:rPr/>
        <w:t>Department</w:t>
      </w:r>
      <w:r>
        <w:rPr>
          <w:spacing w:val="-4"/>
        </w:rPr>
        <w:t> </w:t>
      </w:r>
      <w:r>
        <w:rPr/>
        <w:t>of</w:t>
      </w:r>
      <w:r>
        <w:rPr>
          <w:spacing w:val="-4"/>
        </w:rPr>
        <w:t> </w:t>
      </w:r>
      <w:r>
        <w:rPr/>
        <w:t>Health</w:t>
      </w:r>
      <w:r>
        <w:rPr>
          <w:spacing w:val="-5"/>
        </w:rPr>
        <w:t> </w:t>
      </w:r>
      <w:r>
        <w:rPr/>
        <w:t>and</w:t>
      </w:r>
      <w:r>
        <w:rPr>
          <w:spacing w:val="-4"/>
        </w:rPr>
        <w:t> </w:t>
      </w:r>
      <w:r>
        <w:rPr/>
        <w:t>Human</w:t>
      </w:r>
      <w:r>
        <w:rPr>
          <w:spacing w:val="-4"/>
        </w:rPr>
        <w:t> </w:t>
      </w:r>
      <w:r>
        <w:rPr/>
        <w:t>Services,</w:t>
      </w:r>
      <w:r>
        <w:rPr>
          <w:spacing w:val="-4"/>
        </w:rPr>
        <w:t> </w:t>
      </w:r>
      <w:r>
        <w:rPr/>
        <w:t>Agency</w:t>
      </w:r>
      <w:r>
        <w:rPr>
          <w:spacing w:val="-2"/>
        </w:rPr>
        <w:t> </w:t>
      </w:r>
      <w:r>
        <w:rPr/>
        <w:t>for</w:t>
      </w:r>
      <w:r>
        <w:rPr>
          <w:spacing w:val="-4"/>
        </w:rPr>
        <w:t> </w:t>
      </w:r>
      <w:r>
        <w:rPr/>
        <w:t>Healthcare Research and Quality.</w:t>
      </w:r>
    </w:p>
    <w:p>
      <w:pPr>
        <w:pStyle w:val="BodyText"/>
        <w:spacing w:before="1"/>
        <w:ind w:left="959" w:right="579" w:hanging="720"/>
      </w:pPr>
      <w:r>
        <w:rPr/>
        <w:t>Centers</w:t>
      </w:r>
      <w:r>
        <w:rPr>
          <w:spacing w:val="-4"/>
        </w:rPr>
        <w:t> </w:t>
      </w:r>
      <w:r>
        <w:rPr/>
        <w:t>for</w:t>
      </w:r>
      <w:r>
        <w:rPr>
          <w:spacing w:val="-4"/>
        </w:rPr>
        <w:t> </w:t>
      </w:r>
      <w:r>
        <w:rPr/>
        <w:t>Disease</w:t>
      </w:r>
      <w:r>
        <w:rPr>
          <w:spacing w:val="-4"/>
        </w:rPr>
        <w:t> </w:t>
      </w:r>
      <w:r>
        <w:rPr/>
        <w:t>Control</w:t>
      </w:r>
      <w:r>
        <w:rPr>
          <w:spacing w:val="-4"/>
        </w:rPr>
        <w:t> </w:t>
      </w:r>
      <w:r>
        <w:rPr/>
        <w:t>and</w:t>
      </w:r>
      <w:r>
        <w:rPr>
          <w:spacing w:val="-4"/>
        </w:rPr>
        <w:t> </w:t>
      </w:r>
      <w:r>
        <w:rPr/>
        <w:t>Prevention</w:t>
      </w:r>
      <w:r>
        <w:rPr>
          <w:spacing w:val="-4"/>
        </w:rPr>
        <w:t> </w:t>
      </w:r>
      <w:r>
        <w:rPr/>
        <w:t>(CDC).</w:t>
      </w:r>
      <w:r>
        <w:rPr>
          <w:spacing w:val="-4"/>
        </w:rPr>
        <w:t> </w:t>
      </w:r>
      <w:r>
        <w:rPr/>
        <w:t>(n.d.).</w:t>
      </w:r>
      <w:r>
        <w:rPr>
          <w:spacing w:val="-4"/>
        </w:rPr>
        <w:t> </w:t>
      </w:r>
      <w:r>
        <w:rPr>
          <w:i/>
        </w:rPr>
        <w:t>Colorectal</w:t>
      </w:r>
      <w:r>
        <w:rPr>
          <w:i/>
          <w:spacing w:val="-4"/>
        </w:rPr>
        <w:t> </w:t>
      </w:r>
      <w:r>
        <w:rPr>
          <w:i/>
        </w:rPr>
        <w:t>(colon)</w:t>
      </w:r>
      <w:r>
        <w:rPr>
          <w:i/>
          <w:spacing w:val="-4"/>
        </w:rPr>
        <w:t> </w:t>
      </w:r>
      <w:r>
        <w:rPr>
          <w:i/>
        </w:rPr>
        <w:t>cancer</w:t>
      </w:r>
      <w:r>
        <w:rPr/>
        <w:t>.</w:t>
      </w:r>
      <w:r>
        <w:rPr>
          <w:spacing w:val="-4"/>
        </w:rPr>
        <w:t> </w:t>
      </w:r>
      <w:r>
        <w:rPr/>
        <w:t>Retrieved</w:t>
      </w:r>
      <w:r>
        <w:rPr>
          <w:spacing w:val="-3"/>
        </w:rPr>
        <w:t> </w:t>
      </w:r>
      <w:r>
        <w:rPr/>
        <w:t>from </w:t>
      </w:r>
      <w:hyperlink r:id="rId7">
        <w:r>
          <w:rPr>
            <w:color w:val="0000FF"/>
            <w:spacing w:val="-2"/>
            <w:u w:val="single" w:color="0000FF"/>
          </w:rPr>
          <w:t>http://www.cdc.gov/cancer/colorectal/basic_info/index.htm</w:t>
        </w:r>
      </w:hyperlink>
    </w:p>
    <w:p>
      <w:pPr>
        <w:spacing w:after="0"/>
        <w:sectPr>
          <w:type w:val="continuous"/>
          <w:pgSz w:w="12240" w:h="15840"/>
          <w:pgMar w:header="723" w:footer="1065" w:top="1340" w:bottom="1260" w:left="1200" w:right="980"/>
        </w:sectPr>
      </w:pPr>
    </w:p>
    <w:p>
      <w:pPr>
        <w:pStyle w:val="BodyText"/>
        <w:spacing w:before="81"/>
        <w:ind w:left="960" w:right="579" w:hanging="720"/>
      </w:pPr>
      <w:r>
        <w:rPr/>
        <w:t>Dang,</w:t>
      </w:r>
      <w:r>
        <w:rPr>
          <w:spacing w:val="-3"/>
        </w:rPr>
        <w:t> </w:t>
      </w:r>
      <w:r>
        <w:rPr/>
        <w:t>J.,</w:t>
      </w:r>
      <w:r>
        <w:rPr>
          <w:spacing w:val="-3"/>
        </w:rPr>
        <w:t> </w:t>
      </w:r>
      <w:r>
        <w:rPr/>
        <w:t>Lee,</w:t>
      </w:r>
      <w:r>
        <w:rPr>
          <w:spacing w:val="-3"/>
        </w:rPr>
        <w:t> </w:t>
      </w:r>
      <w:r>
        <w:rPr/>
        <w:t>J.,</w:t>
      </w:r>
      <w:r>
        <w:rPr>
          <w:spacing w:val="-3"/>
        </w:rPr>
        <w:t> </w:t>
      </w:r>
      <w:r>
        <w:rPr/>
        <w:t>&amp;</w:t>
      </w:r>
      <w:r>
        <w:rPr>
          <w:spacing w:val="-3"/>
        </w:rPr>
        <w:t> </w:t>
      </w:r>
      <w:r>
        <w:rPr/>
        <w:t>Tran,</w:t>
      </w:r>
      <w:r>
        <w:rPr>
          <w:spacing w:val="-3"/>
        </w:rPr>
        <w:t> </w:t>
      </w:r>
      <w:r>
        <w:rPr/>
        <w:t>J.</w:t>
      </w:r>
      <w:r>
        <w:rPr>
          <w:spacing w:val="-3"/>
        </w:rPr>
        <w:t> </w:t>
      </w:r>
      <w:r>
        <w:rPr/>
        <w:t>H.</w:t>
      </w:r>
      <w:r>
        <w:rPr>
          <w:spacing w:val="-3"/>
        </w:rPr>
        <w:t> </w:t>
      </w:r>
      <w:r>
        <w:rPr/>
        <w:t>(2010).</w:t>
      </w:r>
      <w:r>
        <w:rPr>
          <w:spacing w:val="-3"/>
        </w:rPr>
        <w:t> </w:t>
      </w:r>
      <w:r>
        <w:rPr/>
        <w:t>Knowledge,</w:t>
      </w:r>
      <w:r>
        <w:rPr>
          <w:spacing w:val="-4"/>
        </w:rPr>
        <w:t> </w:t>
      </w:r>
      <w:r>
        <w:rPr/>
        <w:t>attitudes,</w:t>
      </w:r>
      <w:r>
        <w:rPr>
          <w:spacing w:val="-3"/>
        </w:rPr>
        <w:t> </w:t>
      </w:r>
      <w:r>
        <w:rPr/>
        <w:t>and</w:t>
      </w:r>
      <w:r>
        <w:rPr>
          <w:spacing w:val="-3"/>
        </w:rPr>
        <w:t> </w:t>
      </w:r>
      <w:r>
        <w:rPr/>
        <w:t>beliefs</w:t>
      </w:r>
      <w:r>
        <w:rPr>
          <w:spacing w:val="-3"/>
        </w:rPr>
        <w:t> </w:t>
      </w:r>
      <w:r>
        <w:rPr/>
        <w:t>regarding</w:t>
      </w:r>
      <w:r>
        <w:rPr>
          <w:spacing w:val="-3"/>
        </w:rPr>
        <w:t> </w:t>
      </w:r>
      <w:r>
        <w:rPr/>
        <w:t>breast</w:t>
      </w:r>
      <w:r>
        <w:rPr>
          <w:spacing w:val="-3"/>
        </w:rPr>
        <w:t> </w:t>
      </w:r>
      <w:r>
        <w:rPr/>
        <w:t>and</w:t>
      </w:r>
      <w:r>
        <w:rPr>
          <w:spacing w:val="-3"/>
        </w:rPr>
        <w:t> </w:t>
      </w:r>
      <w:r>
        <w:rPr/>
        <w:t>cervical cancer screening among Cambodian, Laotian, Thai, and Tongan women. </w:t>
      </w:r>
      <w:r>
        <w:rPr>
          <w:i/>
        </w:rPr>
        <w:t>Journal of Cancer</w:t>
      </w:r>
      <w:r>
        <w:rPr>
          <w:i/>
        </w:rPr>
        <w:t> Education, 25</w:t>
      </w:r>
      <w:r>
        <w:rPr/>
        <w:t>, 595-601.</w:t>
      </w:r>
    </w:p>
    <w:p>
      <w:pPr>
        <w:pStyle w:val="BodyText"/>
        <w:ind w:left="960" w:right="579" w:hanging="720"/>
      </w:pPr>
      <w:r>
        <w:rPr/>
        <w:t>Gotay, C. C., Banner, R. O., Matsunaga, D. S., Hedlund, N., Enos, R., Issell, B. F., &amp; DeCambra, H. (2000).</w:t>
      </w:r>
      <w:r>
        <w:rPr>
          <w:spacing w:val="-4"/>
        </w:rPr>
        <w:t> </w:t>
      </w:r>
      <w:r>
        <w:rPr/>
        <w:t>Impact</w:t>
      </w:r>
      <w:r>
        <w:rPr>
          <w:spacing w:val="-4"/>
        </w:rPr>
        <w:t> </w:t>
      </w:r>
      <w:r>
        <w:rPr/>
        <w:t>of</w:t>
      </w:r>
      <w:r>
        <w:rPr>
          <w:spacing w:val="-4"/>
        </w:rPr>
        <w:t> </w:t>
      </w:r>
      <w:r>
        <w:rPr/>
        <w:t>a</w:t>
      </w:r>
      <w:r>
        <w:rPr>
          <w:spacing w:val="-4"/>
        </w:rPr>
        <w:t> </w:t>
      </w:r>
      <w:r>
        <w:rPr/>
        <w:t>culturally</w:t>
      </w:r>
      <w:r>
        <w:rPr>
          <w:spacing w:val="-4"/>
        </w:rPr>
        <w:t> </w:t>
      </w:r>
      <w:r>
        <w:rPr/>
        <w:t>appropriate</w:t>
      </w:r>
      <w:r>
        <w:rPr>
          <w:spacing w:val="-4"/>
        </w:rPr>
        <w:t> </w:t>
      </w:r>
      <w:r>
        <w:rPr/>
        <w:t>intervention</w:t>
      </w:r>
      <w:r>
        <w:rPr>
          <w:spacing w:val="-4"/>
        </w:rPr>
        <w:t> </w:t>
      </w:r>
      <w:r>
        <w:rPr/>
        <w:t>on</w:t>
      </w:r>
      <w:r>
        <w:rPr>
          <w:spacing w:val="-4"/>
        </w:rPr>
        <w:t> </w:t>
      </w:r>
      <w:r>
        <w:rPr/>
        <w:t>breast</w:t>
      </w:r>
      <w:r>
        <w:rPr>
          <w:spacing w:val="-4"/>
        </w:rPr>
        <w:t> </w:t>
      </w:r>
      <w:r>
        <w:rPr/>
        <w:t>and</w:t>
      </w:r>
      <w:r>
        <w:rPr>
          <w:spacing w:val="-4"/>
        </w:rPr>
        <w:t> </w:t>
      </w:r>
      <w:r>
        <w:rPr/>
        <w:t>cervical</w:t>
      </w:r>
      <w:r>
        <w:rPr>
          <w:spacing w:val="-4"/>
        </w:rPr>
        <w:t> </w:t>
      </w:r>
      <w:r>
        <w:rPr/>
        <w:t>screening</w:t>
      </w:r>
      <w:r>
        <w:rPr>
          <w:spacing w:val="-4"/>
        </w:rPr>
        <w:t> </w:t>
      </w:r>
      <w:r>
        <w:rPr/>
        <w:t>among Native Hawaiian women. </w:t>
      </w:r>
      <w:r>
        <w:rPr>
          <w:i/>
        </w:rPr>
        <w:t>Preventive Medicine, 31</w:t>
      </w:r>
      <w:r>
        <w:rPr/>
        <w:t>, 529-537.</w:t>
      </w:r>
    </w:p>
    <w:p>
      <w:pPr>
        <w:spacing w:before="0"/>
        <w:ind w:left="960" w:right="579" w:hanging="720"/>
        <w:jc w:val="left"/>
        <w:rPr>
          <w:sz w:val="22"/>
        </w:rPr>
      </w:pPr>
      <w:r>
        <w:rPr>
          <w:sz w:val="22"/>
        </w:rPr>
        <w:t>James, A. S., Daley, C. M., &amp; Greiner, K. A. (2011). Knowledge and attitudes about colon cancer screening</w:t>
      </w:r>
      <w:r>
        <w:rPr>
          <w:spacing w:val="-4"/>
          <w:sz w:val="22"/>
        </w:rPr>
        <w:t> </w:t>
      </w:r>
      <w:r>
        <w:rPr>
          <w:sz w:val="22"/>
        </w:rPr>
        <w:t>among</w:t>
      </w:r>
      <w:r>
        <w:rPr>
          <w:spacing w:val="-4"/>
          <w:sz w:val="22"/>
        </w:rPr>
        <w:t> </w:t>
      </w:r>
      <w:r>
        <w:rPr>
          <w:sz w:val="22"/>
        </w:rPr>
        <w:t>African</w:t>
      </w:r>
      <w:r>
        <w:rPr>
          <w:spacing w:val="-5"/>
          <w:sz w:val="22"/>
        </w:rPr>
        <w:t> </w:t>
      </w:r>
      <w:r>
        <w:rPr>
          <w:sz w:val="22"/>
        </w:rPr>
        <w:t>Americans.</w:t>
      </w:r>
      <w:r>
        <w:rPr>
          <w:spacing w:val="-5"/>
          <w:sz w:val="22"/>
        </w:rPr>
        <w:t> </w:t>
      </w:r>
      <w:r>
        <w:rPr>
          <w:i/>
          <w:sz w:val="22"/>
        </w:rPr>
        <w:t>American</w:t>
      </w:r>
      <w:r>
        <w:rPr>
          <w:i/>
          <w:spacing w:val="-4"/>
          <w:sz w:val="22"/>
        </w:rPr>
        <w:t> </w:t>
      </w:r>
      <w:r>
        <w:rPr>
          <w:i/>
          <w:sz w:val="22"/>
        </w:rPr>
        <w:t>Journal</w:t>
      </w:r>
      <w:r>
        <w:rPr>
          <w:i/>
          <w:spacing w:val="-4"/>
          <w:sz w:val="22"/>
        </w:rPr>
        <w:t> </w:t>
      </w:r>
      <w:r>
        <w:rPr>
          <w:i/>
          <w:sz w:val="22"/>
        </w:rPr>
        <w:t>of</w:t>
      </w:r>
      <w:r>
        <w:rPr>
          <w:i/>
          <w:spacing w:val="-4"/>
          <w:sz w:val="22"/>
        </w:rPr>
        <w:t> </w:t>
      </w:r>
      <w:r>
        <w:rPr>
          <w:i/>
          <w:sz w:val="22"/>
        </w:rPr>
        <w:t>Health</w:t>
      </w:r>
      <w:r>
        <w:rPr>
          <w:i/>
          <w:spacing w:val="-5"/>
          <w:sz w:val="22"/>
        </w:rPr>
        <w:t> </w:t>
      </w:r>
      <w:r>
        <w:rPr>
          <w:i/>
          <w:sz w:val="22"/>
        </w:rPr>
        <w:t>Behavior,</w:t>
      </w:r>
      <w:r>
        <w:rPr>
          <w:i/>
          <w:spacing w:val="-4"/>
          <w:sz w:val="22"/>
        </w:rPr>
        <w:t> </w:t>
      </w:r>
      <w:r>
        <w:rPr>
          <w:i/>
          <w:sz w:val="22"/>
        </w:rPr>
        <w:t>35</w:t>
      </w:r>
      <w:r>
        <w:rPr>
          <w:sz w:val="22"/>
        </w:rPr>
        <w:t>(4),</w:t>
      </w:r>
      <w:r>
        <w:rPr>
          <w:spacing w:val="-4"/>
          <w:sz w:val="22"/>
        </w:rPr>
        <w:t> </w:t>
      </w:r>
      <w:r>
        <w:rPr>
          <w:sz w:val="22"/>
        </w:rPr>
        <w:t>393-401.</w:t>
      </w:r>
    </w:p>
    <w:p>
      <w:pPr>
        <w:pStyle w:val="BodyText"/>
        <w:ind w:left="960" w:right="579" w:hanging="720"/>
      </w:pPr>
      <w:r>
        <w:rPr/>
        <w:t>Kreuter,</w:t>
      </w:r>
      <w:r>
        <w:rPr>
          <w:spacing w:val="-3"/>
        </w:rPr>
        <w:t> </w:t>
      </w:r>
      <w:r>
        <w:rPr/>
        <w:t>M.</w:t>
      </w:r>
      <w:r>
        <w:rPr>
          <w:spacing w:val="-3"/>
        </w:rPr>
        <w:t> </w:t>
      </w:r>
      <w:r>
        <w:rPr/>
        <w:t>W.,</w:t>
      </w:r>
      <w:r>
        <w:rPr>
          <w:spacing w:val="-3"/>
        </w:rPr>
        <w:t> </w:t>
      </w:r>
      <w:r>
        <w:rPr/>
        <w:t>Lukwago,</w:t>
      </w:r>
      <w:r>
        <w:rPr>
          <w:spacing w:val="-3"/>
        </w:rPr>
        <w:t> </w:t>
      </w:r>
      <w:r>
        <w:rPr/>
        <w:t>S.</w:t>
      </w:r>
      <w:r>
        <w:rPr>
          <w:spacing w:val="-3"/>
        </w:rPr>
        <w:t> </w:t>
      </w:r>
      <w:r>
        <w:rPr/>
        <w:t>N.,</w:t>
      </w:r>
      <w:r>
        <w:rPr>
          <w:spacing w:val="-3"/>
        </w:rPr>
        <w:t> </w:t>
      </w:r>
      <w:r>
        <w:rPr/>
        <w:t>Bucholtz,</w:t>
      </w:r>
      <w:r>
        <w:rPr>
          <w:spacing w:val="-3"/>
        </w:rPr>
        <w:t> </w:t>
      </w:r>
      <w:r>
        <w:rPr/>
        <w:t>D.</w:t>
      </w:r>
      <w:r>
        <w:rPr>
          <w:spacing w:val="-3"/>
        </w:rPr>
        <w:t> </w:t>
      </w:r>
      <w:r>
        <w:rPr/>
        <w:t>C.,</w:t>
      </w:r>
      <w:r>
        <w:rPr>
          <w:spacing w:val="-3"/>
        </w:rPr>
        <w:t> </w:t>
      </w:r>
      <w:r>
        <w:rPr/>
        <w:t>Clark,</w:t>
      </w:r>
      <w:r>
        <w:rPr>
          <w:spacing w:val="-3"/>
        </w:rPr>
        <w:t> </w:t>
      </w:r>
      <w:r>
        <w:rPr/>
        <w:t>E.</w:t>
      </w:r>
      <w:r>
        <w:rPr>
          <w:spacing w:val="-3"/>
        </w:rPr>
        <w:t> </w:t>
      </w:r>
      <w:r>
        <w:rPr/>
        <w:t>M.,</w:t>
      </w:r>
      <w:r>
        <w:rPr>
          <w:spacing w:val="-3"/>
        </w:rPr>
        <w:t> </w:t>
      </w:r>
      <w:r>
        <w:rPr/>
        <w:t>&amp;</w:t>
      </w:r>
      <w:r>
        <w:rPr>
          <w:spacing w:val="-5"/>
        </w:rPr>
        <w:t> </w:t>
      </w:r>
      <w:r>
        <w:rPr/>
        <w:t>Sanders-Thompson,</w:t>
      </w:r>
      <w:r>
        <w:rPr>
          <w:spacing w:val="-3"/>
        </w:rPr>
        <w:t> </w:t>
      </w:r>
      <w:r>
        <w:rPr/>
        <w:t>V.</w:t>
      </w:r>
      <w:r>
        <w:rPr>
          <w:spacing w:val="-3"/>
        </w:rPr>
        <w:t> </w:t>
      </w:r>
      <w:r>
        <w:rPr/>
        <w:t>(2003). Achieving cultural appropriateness in health promotion programs: Targeted and tailored approaches. </w:t>
      </w:r>
      <w:r>
        <w:rPr>
          <w:i/>
        </w:rPr>
        <w:t>Health Education Behavior, 30</w:t>
      </w:r>
      <w:r>
        <w:rPr/>
        <w:t>(2), 133-146.</w:t>
      </w:r>
    </w:p>
    <w:p>
      <w:pPr>
        <w:pStyle w:val="BodyText"/>
        <w:ind w:left="960" w:right="579" w:hanging="720"/>
      </w:pPr>
      <w:r>
        <w:rPr/>
        <w:t>Lee, H. Y., Lundquist, M., Ju, E., Luo, X., &amp; Townsend, A. (2011). Colorectal cancer screening disparities</w:t>
      </w:r>
      <w:r>
        <w:rPr>
          <w:spacing w:val="-4"/>
        </w:rPr>
        <w:t> </w:t>
      </w:r>
      <w:r>
        <w:rPr/>
        <w:t>in</w:t>
      </w:r>
      <w:r>
        <w:rPr>
          <w:spacing w:val="-4"/>
        </w:rPr>
        <w:t> </w:t>
      </w:r>
      <w:r>
        <w:rPr/>
        <w:t>Asian</w:t>
      </w:r>
      <w:r>
        <w:rPr>
          <w:spacing w:val="-4"/>
        </w:rPr>
        <w:t> </w:t>
      </w:r>
      <w:r>
        <w:rPr/>
        <w:t>Americans</w:t>
      </w:r>
      <w:r>
        <w:rPr>
          <w:spacing w:val="-4"/>
        </w:rPr>
        <w:t> </w:t>
      </w:r>
      <w:r>
        <w:rPr/>
        <w:t>and</w:t>
      </w:r>
      <w:r>
        <w:rPr>
          <w:spacing w:val="-4"/>
        </w:rPr>
        <w:t> </w:t>
      </w:r>
      <w:r>
        <w:rPr/>
        <w:t>Pacific</w:t>
      </w:r>
      <w:r>
        <w:rPr>
          <w:spacing w:val="-4"/>
        </w:rPr>
        <w:t> </w:t>
      </w:r>
      <w:r>
        <w:rPr/>
        <w:t>Islanders:</w:t>
      </w:r>
      <w:r>
        <w:rPr>
          <w:spacing w:val="-3"/>
        </w:rPr>
        <w:t> </w:t>
      </w:r>
      <w:r>
        <w:rPr/>
        <w:t>Which</w:t>
      </w:r>
      <w:r>
        <w:rPr>
          <w:spacing w:val="-4"/>
        </w:rPr>
        <w:t> </w:t>
      </w:r>
      <w:r>
        <w:rPr/>
        <w:t>groups</w:t>
      </w:r>
      <w:r>
        <w:rPr>
          <w:spacing w:val="-4"/>
        </w:rPr>
        <w:t> </w:t>
      </w:r>
      <w:r>
        <w:rPr/>
        <w:t>are</w:t>
      </w:r>
      <w:r>
        <w:rPr>
          <w:spacing w:val="-3"/>
        </w:rPr>
        <w:t> </w:t>
      </w:r>
      <w:r>
        <w:rPr/>
        <w:t>most</w:t>
      </w:r>
      <w:r>
        <w:rPr>
          <w:spacing w:val="-4"/>
        </w:rPr>
        <w:t> </w:t>
      </w:r>
      <w:r>
        <w:rPr/>
        <w:t>vulnerable? </w:t>
      </w:r>
      <w:r>
        <w:rPr>
          <w:i/>
        </w:rPr>
        <w:t>Ethnicity &amp; Health, 16</w:t>
      </w:r>
      <w:r>
        <w:rPr/>
        <w:t>(6), 501-518.</w:t>
      </w:r>
    </w:p>
    <w:p>
      <w:pPr>
        <w:pStyle w:val="BodyText"/>
        <w:ind w:left="960" w:right="579" w:hanging="720"/>
      </w:pPr>
      <w:r>
        <w:rPr/>
        <w:t>Manglona, R. D., Robert, S., Isaacson, L. S. N., Garrido, M., Henrich, F. B., Santos, L. S., Peters, R. (2010).</w:t>
      </w:r>
      <w:r>
        <w:rPr>
          <w:spacing w:val="-4"/>
        </w:rPr>
        <w:t> </w:t>
      </w:r>
      <w:r>
        <w:rPr/>
        <w:t>Promoting</w:t>
      </w:r>
      <w:r>
        <w:rPr>
          <w:spacing w:val="-5"/>
        </w:rPr>
        <w:t> </w:t>
      </w:r>
      <w:r>
        <w:rPr/>
        <w:t>breast</w:t>
      </w:r>
      <w:r>
        <w:rPr>
          <w:spacing w:val="-4"/>
        </w:rPr>
        <w:t> </w:t>
      </w:r>
      <w:r>
        <w:rPr/>
        <w:t>cancer</w:t>
      </w:r>
      <w:r>
        <w:rPr>
          <w:spacing w:val="-4"/>
        </w:rPr>
        <w:t> </w:t>
      </w:r>
      <w:r>
        <w:rPr/>
        <w:t>screening</w:t>
      </w:r>
      <w:r>
        <w:rPr>
          <w:spacing w:val="-4"/>
        </w:rPr>
        <w:t> </w:t>
      </w:r>
      <w:r>
        <w:rPr/>
        <w:t>through</w:t>
      </w:r>
      <w:r>
        <w:rPr>
          <w:spacing w:val="-4"/>
        </w:rPr>
        <w:t> </w:t>
      </w:r>
      <w:r>
        <w:rPr/>
        <w:t>storytelling</w:t>
      </w:r>
      <w:r>
        <w:rPr>
          <w:spacing w:val="-5"/>
        </w:rPr>
        <w:t> </w:t>
      </w:r>
      <w:r>
        <w:rPr/>
        <w:t>by</w:t>
      </w:r>
      <w:r>
        <w:rPr>
          <w:spacing w:val="-4"/>
        </w:rPr>
        <w:t> </w:t>
      </w:r>
      <w:r>
        <w:rPr/>
        <w:t>Chamorro</w:t>
      </w:r>
      <w:r>
        <w:rPr>
          <w:spacing w:val="-4"/>
        </w:rPr>
        <w:t> </w:t>
      </w:r>
      <w:r>
        <w:rPr/>
        <w:t>cancer</w:t>
      </w:r>
      <w:r>
        <w:rPr>
          <w:spacing w:val="-4"/>
        </w:rPr>
        <w:t> </w:t>
      </w:r>
      <w:r>
        <w:rPr/>
        <w:t>survivors. </w:t>
      </w:r>
      <w:r>
        <w:rPr>
          <w:i/>
        </w:rPr>
        <w:t>Californian Journal of Health Promotion, 8</w:t>
      </w:r>
      <w:r>
        <w:rPr/>
        <w:t>, 90-95.</w:t>
      </w:r>
    </w:p>
    <w:p>
      <w:pPr>
        <w:spacing w:before="0"/>
        <w:ind w:left="240" w:right="0" w:hanging="1"/>
        <w:jc w:val="left"/>
        <w:rPr>
          <w:sz w:val="22"/>
        </w:rPr>
      </w:pPr>
      <w:r>
        <w:rPr>
          <w:sz w:val="22"/>
        </w:rPr>
        <w:t>McLaughlin,</w:t>
      </w:r>
      <w:r>
        <w:rPr>
          <w:spacing w:val="-8"/>
          <w:sz w:val="22"/>
        </w:rPr>
        <w:t> </w:t>
      </w:r>
      <w:r>
        <w:rPr>
          <w:sz w:val="22"/>
        </w:rPr>
        <w:t>G.</w:t>
      </w:r>
      <w:r>
        <w:rPr>
          <w:spacing w:val="-7"/>
          <w:sz w:val="22"/>
        </w:rPr>
        <w:t> </w:t>
      </w:r>
      <w:r>
        <w:rPr>
          <w:sz w:val="22"/>
        </w:rPr>
        <w:t>(1969).</w:t>
      </w:r>
      <w:r>
        <w:rPr>
          <w:spacing w:val="-8"/>
          <w:sz w:val="22"/>
        </w:rPr>
        <w:t> </w:t>
      </w:r>
      <w:r>
        <w:rPr>
          <w:sz w:val="22"/>
        </w:rPr>
        <w:t>SMOG</w:t>
      </w:r>
      <w:r>
        <w:rPr>
          <w:spacing w:val="-7"/>
          <w:sz w:val="22"/>
        </w:rPr>
        <w:t> </w:t>
      </w:r>
      <w:r>
        <w:rPr>
          <w:sz w:val="22"/>
        </w:rPr>
        <w:t>grading:</w:t>
      </w:r>
      <w:r>
        <w:rPr>
          <w:spacing w:val="-7"/>
          <w:sz w:val="22"/>
        </w:rPr>
        <w:t> </w:t>
      </w:r>
      <w:r>
        <w:rPr>
          <w:sz w:val="22"/>
        </w:rPr>
        <w:t>A</w:t>
      </w:r>
      <w:r>
        <w:rPr>
          <w:spacing w:val="-7"/>
          <w:sz w:val="22"/>
        </w:rPr>
        <w:t> </w:t>
      </w:r>
      <w:r>
        <w:rPr>
          <w:sz w:val="22"/>
        </w:rPr>
        <w:t>new</w:t>
      </w:r>
      <w:r>
        <w:rPr>
          <w:spacing w:val="-7"/>
          <w:sz w:val="22"/>
        </w:rPr>
        <w:t> </w:t>
      </w:r>
      <w:r>
        <w:rPr>
          <w:sz w:val="22"/>
        </w:rPr>
        <w:t>readability</w:t>
      </w:r>
      <w:r>
        <w:rPr>
          <w:spacing w:val="-5"/>
          <w:sz w:val="22"/>
        </w:rPr>
        <w:t> </w:t>
      </w:r>
      <w:r>
        <w:rPr>
          <w:sz w:val="22"/>
        </w:rPr>
        <w:t>formula.</w:t>
      </w:r>
      <w:r>
        <w:rPr>
          <w:spacing w:val="-6"/>
          <w:sz w:val="22"/>
        </w:rPr>
        <w:t> </w:t>
      </w:r>
      <w:r>
        <w:rPr>
          <w:i/>
          <w:sz w:val="22"/>
        </w:rPr>
        <w:t>Journal</w:t>
      </w:r>
      <w:r>
        <w:rPr>
          <w:i/>
          <w:spacing w:val="-8"/>
          <w:sz w:val="22"/>
        </w:rPr>
        <w:t> </w:t>
      </w:r>
      <w:r>
        <w:rPr>
          <w:i/>
          <w:sz w:val="22"/>
        </w:rPr>
        <w:t>of</w:t>
      </w:r>
      <w:r>
        <w:rPr>
          <w:i/>
          <w:spacing w:val="-6"/>
          <w:sz w:val="22"/>
        </w:rPr>
        <w:t> </w:t>
      </w:r>
      <w:r>
        <w:rPr>
          <w:i/>
          <w:sz w:val="22"/>
        </w:rPr>
        <w:t>Reading,</w:t>
      </w:r>
      <w:r>
        <w:rPr>
          <w:i/>
          <w:spacing w:val="-8"/>
          <w:sz w:val="22"/>
        </w:rPr>
        <w:t> </w:t>
      </w:r>
      <w:r>
        <w:rPr>
          <w:i/>
          <w:sz w:val="22"/>
        </w:rPr>
        <w:t>12</w:t>
      </w:r>
      <w:r>
        <w:rPr>
          <w:sz w:val="22"/>
        </w:rPr>
        <w:t>(8),</w:t>
      </w:r>
      <w:r>
        <w:rPr>
          <w:spacing w:val="-7"/>
          <w:sz w:val="22"/>
        </w:rPr>
        <w:t> </w:t>
      </w:r>
      <w:r>
        <w:rPr>
          <w:sz w:val="22"/>
        </w:rPr>
        <w:t>639-</w:t>
      </w:r>
      <w:r>
        <w:rPr>
          <w:spacing w:val="-4"/>
          <w:sz w:val="22"/>
        </w:rPr>
        <w:t>646.</w:t>
      </w:r>
    </w:p>
    <w:p>
      <w:pPr>
        <w:pStyle w:val="BodyText"/>
        <w:ind w:left="960" w:right="579" w:hanging="720"/>
      </w:pPr>
      <w:r>
        <w:rPr/>
        <w:t>Miller,</w:t>
      </w:r>
      <w:r>
        <w:rPr>
          <w:spacing w:val="-2"/>
        </w:rPr>
        <w:t> </w:t>
      </w:r>
      <w:r>
        <w:rPr/>
        <w:t>B.</w:t>
      </w:r>
      <w:r>
        <w:rPr>
          <w:spacing w:val="-2"/>
        </w:rPr>
        <w:t> </w:t>
      </w:r>
      <w:r>
        <w:rPr/>
        <w:t>A.,</w:t>
      </w:r>
      <w:r>
        <w:rPr>
          <w:spacing w:val="-2"/>
        </w:rPr>
        <w:t> </w:t>
      </w:r>
      <w:r>
        <w:rPr/>
        <w:t>Chu,</w:t>
      </w:r>
      <w:r>
        <w:rPr>
          <w:spacing w:val="-2"/>
        </w:rPr>
        <w:t> </w:t>
      </w:r>
      <w:r>
        <w:rPr/>
        <w:t>K.</w:t>
      </w:r>
      <w:r>
        <w:rPr>
          <w:spacing w:val="-2"/>
        </w:rPr>
        <w:t> </w:t>
      </w:r>
      <w:r>
        <w:rPr/>
        <w:t>C.,</w:t>
      </w:r>
      <w:r>
        <w:rPr>
          <w:spacing w:val="-3"/>
        </w:rPr>
        <w:t> </w:t>
      </w:r>
      <w:r>
        <w:rPr/>
        <w:t>Hankey,</w:t>
      </w:r>
      <w:r>
        <w:rPr>
          <w:spacing w:val="-2"/>
        </w:rPr>
        <w:t> </w:t>
      </w:r>
      <w:r>
        <w:rPr/>
        <w:t>B.</w:t>
      </w:r>
      <w:r>
        <w:rPr>
          <w:spacing w:val="-2"/>
        </w:rPr>
        <w:t> </w:t>
      </w:r>
      <w:r>
        <w:rPr/>
        <w:t>F.,</w:t>
      </w:r>
      <w:r>
        <w:rPr>
          <w:spacing w:val="-2"/>
        </w:rPr>
        <w:t> </w:t>
      </w:r>
      <w:r>
        <w:rPr/>
        <w:t>&amp;</w:t>
      </w:r>
      <w:r>
        <w:rPr>
          <w:spacing w:val="-2"/>
        </w:rPr>
        <w:t> </w:t>
      </w:r>
      <w:r>
        <w:rPr/>
        <w:t>Ries,</w:t>
      </w:r>
      <w:r>
        <w:rPr>
          <w:spacing w:val="-2"/>
        </w:rPr>
        <w:t> </w:t>
      </w:r>
      <w:r>
        <w:rPr/>
        <w:t>L.</w:t>
      </w:r>
      <w:r>
        <w:rPr>
          <w:spacing w:val="-3"/>
        </w:rPr>
        <w:t> </w:t>
      </w:r>
      <w:r>
        <w:rPr/>
        <w:t>A.</w:t>
      </w:r>
      <w:r>
        <w:rPr>
          <w:spacing w:val="-2"/>
        </w:rPr>
        <w:t> </w:t>
      </w:r>
      <w:r>
        <w:rPr/>
        <w:t>G.</w:t>
      </w:r>
      <w:r>
        <w:rPr>
          <w:spacing w:val="-2"/>
        </w:rPr>
        <w:t> </w:t>
      </w:r>
      <w:r>
        <w:rPr/>
        <w:t>(2008).</w:t>
      </w:r>
      <w:r>
        <w:rPr>
          <w:spacing w:val="-3"/>
        </w:rPr>
        <w:t> </w:t>
      </w:r>
      <w:r>
        <w:rPr/>
        <w:t>Cancer</w:t>
      </w:r>
      <w:r>
        <w:rPr>
          <w:spacing w:val="-2"/>
        </w:rPr>
        <w:t> </w:t>
      </w:r>
      <w:r>
        <w:rPr/>
        <w:t>incidence</w:t>
      </w:r>
      <w:r>
        <w:rPr>
          <w:spacing w:val="-2"/>
        </w:rPr>
        <w:t> </w:t>
      </w:r>
      <w:r>
        <w:rPr/>
        <w:t>and</w:t>
      </w:r>
      <w:r>
        <w:rPr>
          <w:spacing w:val="-1"/>
        </w:rPr>
        <w:t> </w:t>
      </w:r>
      <w:r>
        <w:rPr/>
        <w:t>mortality</w:t>
      </w:r>
      <w:r>
        <w:rPr>
          <w:spacing w:val="-2"/>
        </w:rPr>
        <w:t> </w:t>
      </w:r>
      <w:r>
        <w:rPr/>
        <w:t>patters among specific Asian and Pacific Islander populations in the U.S. </w:t>
      </w:r>
      <w:r>
        <w:rPr>
          <w:i/>
        </w:rPr>
        <w:t>Cancer Causes Control, 19</w:t>
      </w:r>
      <w:r>
        <w:rPr/>
        <w:t>, </w:t>
      </w:r>
      <w:r>
        <w:rPr>
          <w:spacing w:val="-2"/>
        </w:rPr>
        <w:t>227-256.</w:t>
      </w:r>
    </w:p>
    <w:p>
      <w:pPr>
        <w:pStyle w:val="BodyText"/>
        <w:ind w:left="960" w:hanging="720"/>
      </w:pPr>
      <w:r>
        <w:rPr/>
        <w:t>Sadler,</w:t>
      </w:r>
      <w:r>
        <w:rPr>
          <w:spacing w:val="-3"/>
        </w:rPr>
        <w:t> </w:t>
      </w:r>
      <w:r>
        <w:rPr/>
        <w:t>G.</w:t>
      </w:r>
      <w:r>
        <w:rPr>
          <w:spacing w:val="-3"/>
        </w:rPr>
        <w:t> </w:t>
      </w:r>
      <w:r>
        <w:rPr/>
        <w:t>R.,</w:t>
      </w:r>
      <w:r>
        <w:rPr>
          <w:spacing w:val="-3"/>
        </w:rPr>
        <w:t> </w:t>
      </w:r>
      <w:r>
        <w:rPr/>
        <w:t>Ko,</w:t>
      </w:r>
      <w:r>
        <w:rPr>
          <w:spacing w:val="-3"/>
        </w:rPr>
        <w:t> </w:t>
      </w:r>
      <w:r>
        <w:rPr/>
        <w:t>C.</w:t>
      </w:r>
      <w:r>
        <w:rPr>
          <w:spacing w:val="-3"/>
        </w:rPr>
        <w:t> </w:t>
      </w:r>
      <w:r>
        <w:rPr/>
        <w:t>M.,</w:t>
      </w:r>
      <w:r>
        <w:rPr>
          <w:spacing w:val="-3"/>
        </w:rPr>
        <w:t> </w:t>
      </w:r>
      <w:r>
        <w:rPr/>
        <w:t>Cohn,</w:t>
      </w:r>
      <w:r>
        <w:rPr>
          <w:spacing w:val="-3"/>
        </w:rPr>
        <w:t> </w:t>
      </w:r>
      <w:r>
        <w:rPr/>
        <w:t>J.</w:t>
      </w:r>
      <w:r>
        <w:rPr>
          <w:spacing w:val="-3"/>
        </w:rPr>
        <w:t> </w:t>
      </w:r>
      <w:r>
        <w:rPr/>
        <w:t>A.,</w:t>
      </w:r>
      <w:r>
        <w:rPr>
          <w:spacing w:val="-3"/>
        </w:rPr>
        <w:t> </w:t>
      </w:r>
      <w:r>
        <w:rPr/>
        <w:t>White,</w:t>
      </w:r>
      <w:r>
        <w:rPr>
          <w:spacing w:val="-3"/>
        </w:rPr>
        <w:t> </w:t>
      </w:r>
      <w:r>
        <w:rPr/>
        <w:t>M.,</w:t>
      </w:r>
      <w:r>
        <w:rPr>
          <w:spacing w:val="-3"/>
        </w:rPr>
        <w:t> </w:t>
      </w:r>
      <w:r>
        <w:rPr/>
        <w:t>Weldon,</w:t>
      </w:r>
      <w:r>
        <w:rPr>
          <w:spacing w:val="-3"/>
        </w:rPr>
        <w:t> </w:t>
      </w:r>
      <w:r>
        <w:rPr/>
        <w:t>R.,</w:t>
      </w:r>
      <w:r>
        <w:rPr>
          <w:spacing w:val="-3"/>
        </w:rPr>
        <w:t> </w:t>
      </w:r>
      <w:r>
        <w:rPr/>
        <w:t>&amp;</w:t>
      </w:r>
      <w:r>
        <w:rPr>
          <w:spacing w:val="-3"/>
        </w:rPr>
        <w:t> </w:t>
      </w:r>
      <w:r>
        <w:rPr/>
        <w:t>Wu,</w:t>
      </w:r>
      <w:r>
        <w:rPr>
          <w:spacing w:val="-3"/>
        </w:rPr>
        <w:t> </w:t>
      </w:r>
      <w:r>
        <w:rPr/>
        <w:t>P.</w:t>
      </w:r>
      <w:r>
        <w:rPr>
          <w:spacing w:val="-3"/>
        </w:rPr>
        <w:t> </w:t>
      </w:r>
      <w:r>
        <w:rPr/>
        <w:t>(2007).</w:t>
      </w:r>
      <w:r>
        <w:rPr>
          <w:spacing w:val="-3"/>
        </w:rPr>
        <w:t> </w:t>
      </w:r>
      <w:r>
        <w:rPr/>
        <w:t>Breast</w:t>
      </w:r>
      <w:r>
        <w:rPr>
          <w:spacing w:val="-2"/>
        </w:rPr>
        <w:t> </w:t>
      </w:r>
      <w:r>
        <w:rPr/>
        <w:t>cancer</w:t>
      </w:r>
      <w:r>
        <w:rPr>
          <w:spacing w:val="-2"/>
        </w:rPr>
        <w:t> </w:t>
      </w:r>
      <w:r>
        <w:rPr/>
        <w:t>knowledge, attitudes, and screening behaviors among African American women: the Black cosmetologists promoting health program. </w:t>
      </w:r>
      <w:r>
        <w:rPr>
          <w:i/>
        </w:rPr>
        <w:t>BMC Public Health, 7</w:t>
      </w:r>
      <w:r>
        <w:rPr/>
        <w:t>(57), 1-8.</w:t>
      </w:r>
    </w:p>
    <w:p>
      <w:pPr>
        <w:spacing w:line="252" w:lineRule="exact" w:before="0"/>
        <w:ind w:left="240" w:right="0" w:firstLine="0"/>
        <w:jc w:val="left"/>
        <w:rPr>
          <w:sz w:val="22"/>
        </w:rPr>
      </w:pPr>
      <w:r>
        <w:rPr>
          <w:sz w:val="22"/>
        </w:rPr>
        <w:t>UCLA.</w:t>
      </w:r>
      <w:r>
        <w:rPr>
          <w:spacing w:val="-7"/>
          <w:sz w:val="22"/>
        </w:rPr>
        <w:t> </w:t>
      </w:r>
      <w:r>
        <w:rPr>
          <w:sz w:val="22"/>
        </w:rPr>
        <w:t>(2001).</w:t>
      </w:r>
      <w:r>
        <w:rPr>
          <w:spacing w:val="-6"/>
          <w:sz w:val="22"/>
        </w:rPr>
        <w:t> </w:t>
      </w:r>
      <w:r>
        <w:rPr>
          <w:i/>
          <w:sz w:val="22"/>
        </w:rPr>
        <w:t>California</w:t>
      </w:r>
      <w:r>
        <w:rPr>
          <w:i/>
          <w:spacing w:val="-7"/>
          <w:sz w:val="22"/>
        </w:rPr>
        <w:t> </w:t>
      </w:r>
      <w:r>
        <w:rPr>
          <w:i/>
          <w:sz w:val="22"/>
        </w:rPr>
        <w:t>Health</w:t>
      </w:r>
      <w:r>
        <w:rPr>
          <w:i/>
          <w:spacing w:val="-5"/>
          <w:sz w:val="22"/>
        </w:rPr>
        <w:t> </w:t>
      </w:r>
      <w:r>
        <w:rPr>
          <w:i/>
          <w:sz w:val="22"/>
        </w:rPr>
        <w:t>Interview</w:t>
      </w:r>
      <w:r>
        <w:rPr>
          <w:i/>
          <w:spacing w:val="-7"/>
          <w:sz w:val="22"/>
        </w:rPr>
        <w:t> </w:t>
      </w:r>
      <w:r>
        <w:rPr>
          <w:i/>
          <w:sz w:val="22"/>
        </w:rPr>
        <w:t>Survey.</w:t>
      </w:r>
      <w:r>
        <w:rPr>
          <w:i/>
          <w:spacing w:val="-6"/>
          <w:sz w:val="22"/>
        </w:rPr>
        <w:t> </w:t>
      </w:r>
      <w:r>
        <w:rPr>
          <w:sz w:val="22"/>
        </w:rPr>
        <w:t>UCLA</w:t>
      </w:r>
      <w:r>
        <w:rPr>
          <w:spacing w:val="-6"/>
          <w:sz w:val="22"/>
        </w:rPr>
        <w:t> </w:t>
      </w:r>
      <w:r>
        <w:rPr>
          <w:sz w:val="22"/>
        </w:rPr>
        <w:t>Center</w:t>
      </w:r>
      <w:r>
        <w:rPr>
          <w:spacing w:val="-6"/>
          <w:sz w:val="22"/>
        </w:rPr>
        <w:t> </w:t>
      </w:r>
      <w:r>
        <w:rPr>
          <w:sz w:val="22"/>
        </w:rPr>
        <w:t>for</w:t>
      </w:r>
      <w:r>
        <w:rPr>
          <w:spacing w:val="-7"/>
          <w:sz w:val="22"/>
        </w:rPr>
        <w:t> </w:t>
      </w:r>
      <w:r>
        <w:rPr>
          <w:sz w:val="22"/>
        </w:rPr>
        <w:t>Health</w:t>
      </w:r>
      <w:r>
        <w:rPr>
          <w:spacing w:val="-6"/>
          <w:sz w:val="22"/>
        </w:rPr>
        <w:t> </w:t>
      </w:r>
      <w:r>
        <w:rPr>
          <w:sz w:val="22"/>
        </w:rPr>
        <w:t>Policy</w:t>
      </w:r>
      <w:r>
        <w:rPr>
          <w:spacing w:val="-4"/>
          <w:sz w:val="22"/>
        </w:rPr>
        <w:t> </w:t>
      </w:r>
      <w:r>
        <w:rPr>
          <w:spacing w:val="-2"/>
          <w:sz w:val="22"/>
        </w:rPr>
        <w:t>Research.</w:t>
      </w:r>
    </w:p>
    <w:p>
      <w:pPr>
        <w:spacing w:before="0"/>
        <w:ind w:left="960" w:right="475" w:hanging="720"/>
        <w:jc w:val="left"/>
        <w:rPr>
          <w:sz w:val="22"/>
        </w:rPr>
      </w:pPr>
      <w:r>
        <w:rPr>
          <w:sz w:val="22"/>
        </w:rPr>
        <w:t>U.S.</w:t>
      </w:r>
      <w:r>
        <w:rPr>
          <w:spacing w:val="-3"/>
          <w:sz w:val="22"/>
        </w:rPr>
        <w:t> </w:t>
      </w:r>
      <w:r>
        <w:rPr>
          <w:sz w:val="22"/>
        </w:rPr>
        <w:t>Cancer</w:t>
      </w:r>
      <w:r>
        <w:rPr>
          <w:spacing w:val="-2"/>
          <w:sz w:val="22"/>
        </w:rPr>
        <w:t> </w:t>
      </w:r>
      <w:r>
        <w:rPr>
          <w:sz w:val="22"/>
        </w:rPr>
        <w:t>Statistics</w:t>
      </w:r>
      <w:r>
        <w:rPr>
          <w:spacing w:val="-3"/>
          <w:sz w:val="22"/>
        </w:rPr>
        <w:t> </w:t>
      </w:r>
      <w:r>
        <w:rPr>
          <w:sz w:val="22"/>
        </w:rPr>
        <w:t>Working</w:t>
      </w:r>
      <w:r>
        <w:rPr>
          <w:spacing w:val="-3"/>
          <w:sz w:val="22"/>
        </w:rPr>
        <w:t> </w:t>
      </w:r>
      <w:r>
        <w:rPr>
          <w:sz w:val="22"/>
        </w:rPr>
        <w:t>Group.</w:t>
      </w:r>
      <w:r>
        <w:rPr>
          <w:spacing w:val="-4"/>
          <w:sz w:val="22"/>
        </w:rPr>
        <w:t> </w:t>
      </w:r>
      <w:r>
        <w:rPr>
          <w:sz w:val="22"/>
        </w:rPr>
        <w:t>(2012).</w:t>
      </w:r>
      <w:r>
        <w:rPr>
          <w:spacing w:val="-6"/>
          <w:sz w:val="22"/>
        </w:rPr>
        <w:t> </w:t>
      </w:r>
      <w:r>
        <w:rPr>
          <w:i/>
          <w:sz w:val="22"/>
        </w:rPr>
        <w:t>United</w:t>
      </w:r>
      <w:r>
        <w:rPr>
          <w:i/>
          <w:spacing w:val="-3"/>
          <w:sz w:val="22"/>
        </w:rPr>
        <w:t> </w:t>
      </w:r>
      <w:r>
        <w:rPr>
          <w:i/>
          <w:sz w:val="22"/>
        </w:rPr>
        <w:t>States</w:t>
      </w:r>
      <w:r>
        <w:rPr>
          <w:i/>
          <w:spacing w:val="-3"/>
          <w:sz w:val="22"/>
        </w:rPr>
        <w:t> </w:t>
      </w:r>
      <w:r>
        <w:rPr>
          <w:i/>
          <w:sz w:val="22"/>
        </w:rPr>
        <w:t>Cancer</w:t>
      </w:r>
      <w:r>
        <w:rPr>
          <w:i/>
          <w:spacing w:val="-3"/>
          <w:sz w:val="22"/>
        </w:rPr>
        <w:t> </w:t>
      </w:r>
      <w:r>
        <w:rPr>
          <w:i/>
          <w:sz w:val="22"/>
        </w:rPr>
        <w:t>Statistics:</w:t>
      </w:r>
      <w:r>
        <w:rPr>
          <w:i/>
          <w:spacing w:val="-3"/>
          <w:sz w:val="22"/>
        </w:rPr>
        <w:t> </w:t>
      </w:r>
      <w:r>
        <w:rPr>
          <w:i/>
          <w:sz w:val="22"/>
        </w:rPr>
        <w:t>1999–2008</w:t>
      </w:r>
      <w:r>
        <w:rPr>
          <w:i/>
          <w:spacing w:val="-3"/>
          <w:sz w:val="22"/>
        </w:rPr>
        <w:t> </w:t>
      </w:r>
      <w:r>
        <w:rPr>
          <w:i/>
          <w:sz w:val="22"/>
        </w:rPr>
        <w:t>Incidence</w:t>
      </w:r>
      <w:r>
        <w:rPr>
          <w:i/>
          <w:spacing w:val="-3"/>
          <w:sz w:val="22"/>
        </w:rPr>
        <w:t> </w:t>
      </w:r>
      <w:r>
        <w:rPr>
          <w:i/>
          <w:sz w:val="22"/>
        </w:rPr>
        <w:t>and</w:t>
      </w:r>
      <w:r>
        <w:rPr>
          <w:i/>
          <w:sz w:val="22"/>
        </w:rPr>
        <w:t> Mortality Web-based Report</w:t>
      </w:r>
      <w:r>
        <w:rPr>
          <w:sz w:val="22"/>
        </w:rPr>
        <w:t>. U.S. Department of Health and Human Services, Centers for Disease Control and Prevention and National Cancer Institute. Atlanta, GA. Retrieved from </w:t>
      </w:r>
      <w:hyperlink r:id="rId8">
        <w:r>
          <w:rPr>
            <w:spacing w:val="-2"/>
            <w:sz w:val="22"/>
          </w:rPr>
          <w:t>www.cdc.gov/uscs</w:t>
        </w:r>
      </w:hyperlink>
    </w:p>
    <w:p>
      <w:pPr>
        <w:pStyle w:val="BodyText"/>
        <w:spacing w:before="1"/>
        <w:ind w:left="960" w:right="579" w:hanging="720"/>
      </w:pPr>
      <w:r>
        <w:rPr/>
        <w:t>U.S.</w:t>
      </w:r>
      <w:r>
        <w:rPr>
          <w:spacing w:val="-4"/>
        </w:rPr>
        <w:t> </w:t>
      </w:r>
      <w:r>
        <w:rPr/>
        <w:t>Census</w:t>
      </w:r>
      <w:r>
        <w:rPr>
          <w:spacing w:val="-4"/>
        </w:rPr>
        <w:t> </w:t>
      </w:r>
      <w:r>
        <w:rPr/>
        <w:t>Bureau.</w:t>
      </w:r>
      <w:r>
        <w:rPr>
          <w:spacing w:val="-4"/>
        </w:rPr>
        <w:t> </w:t>
      </w:r>
      <w:r>
        <w:rPr/>
        <w:t>(2000).</w:t>
      </w:r>
      <w:r>
        <w:rPr>
          <w:spacing w:val="-4"/>
        </w:rPr>
        <w:t> </w:t>
      </w:r>
      <w:r>
        <w:rPr/>
        <w:t>American</w:t>
      </w:r>
      <w:r>
        <w:rPr>
          <w:spacing w:val="-3"/>
        </w:rPr>
        <w:t> </w:t>
      </w:r>
      <w:r>
        <w:rPr/>
        <w:t>FactFinder.</w:t>
      </w:r>
      <w:r>
        <w:rPr>
          <w:spacing w:val="-4"/>
        </w:rPr>
        <w:t> </w:t>
      </w:r>
      <w:r>
        <w:rPr/>
        <w:t>Washington,</w:t>
      </w:r>
      <w:r>
        <w:rPr>
          <w:spacing w:val="-5"/>
        </w:rPr>
        <w:t> </w:t>
      </w:r>
      <w:r>
        <w:rPr/>
        <w:t>DC:</w:t>
      </w:r>
      <w:r>
        <w:rPr>
          <w:spacing w:val="-4"/>
        </w:rPr>
        <w:t> </w:t>
      </w:r>
      <w:r>
        <w:rPr/>
        <w:t>Author.</w:t>
      </w:r>
      <w:r>
        <w:rPr>
          <w:spacing w:val="-5"/>
        </w:rPr>
        <w:t> </w:t>
      </w:r>
      <w:r>
        <w:rPr/>
        <w:t>Retrieved</w:t>
      </w:r>
      <w:r>
        <w:rPr>
          <w:spacing w:val="-4"/>
        </w:rPr>
        <w:t> </w:t>
      </w:r>
      <w:r>
        <w:rPr/>
        <w:t>from </w:t>
      </w:r>
      <w:hyperlink r:id="rId9">
        <w:r>
          <w:rPr>
            <w:color w:val="0000FF"/>
            <w:spacing w:val="-2"/>
            <w:u w:val="single" w:color="0000FF"/>
          </w:rPr>
          <w:t>http://www.factfinder2.census.gov</w:t>
        </w:r>
      </w:hyperlink>
    </w:p>
    <w:p>
      <w:pPr>
        <w:spacing w:before="0"/>
        <w:ind w:left="960" w:right="579" w:hanging="720"/>
        <w:jc w:val="left"/>
        <w:rPr>
          <w:sz w:val="22"/>
        </w:rPr>
      </w:pPr>
      <w:r>
        <w:rPr>
          <w:sz w:val="22"/>
        </w:rPr>
        <w:t>U.S.</w:t>
      </w:r>
      <w:r>
        <w:rPr>
          <w:spacing w:val="-4"/>
          <w:sz w:val="22"/>
        </w:rPr>
        <w:t> </w:t>
      </w:r>
      <w:r>
        <w:rPr>
          <w:sz w:val="22"/>
        </w:rPr>
        <w:t>Census</w:t>
      </w:r>
      <w:r>
        <w:rPr>
          <w:spacing w:val="-4"/>
          <w:sz w:val="22"/>
        </w:rPr>
        <w:t> </w:t>
      </w:r>
      <w:r>
        <w:rPr>
          <w:sz w:val="22"/>
        </w:rPr>
        <w:t>Bureau.</w:t>
      </w:r>
      <w:r>
        <w:rPr>
          <w:spacing w:val="-4"/>
          <w:sz w:val="22"/>
        </w:rPr>
        <w:t> </w:t>
      </w:r>
      <w:r>
        <w:rPr>
          <w:sz w:val="22"/>
        </w:rPr>
        <w:t>(2010).</w:t>
      </w:r>
      <w:r>
        <w:rPr>
          <w:spacing w:val="-5"/>
          <w:sz w:val="22"/>
        </w:rPr>
        <w:t> </w:t>
      </w:r>
      <w:r>
        <w:rPr>
          <w:i/>
          <w:sz w:val="22"/>
        </w:rPr>
        <w:t>2010</w:t>
      </w:r>
      <w:r>
        <w:rPr>
          <w:i/>
          <w:spacing w:val="-4"/>
          <w:sz w:val="22"/>
        </w:rPr>
        <w:t> </w:t>
      </w:r>
      <w:r>
        <w:rPr>
          <w:i/>
          <w:sz w:val="22"/>
        </w:rPr>
        <w:t>American</w:t>
      </w:r>
      <w:r>
        <w:rPr>
          <w:i/>
          <w:spacing w:val="-4"/>
          <w:sz w:val="22"/>
        </w:rPr>
        <w:t> </w:t>
      </w:r>
      <w:r>
        <w:rPr>
          <w:i/>
          <w:sz w:val="22"/>
        </w:rPr>
        <w:t>Community</w:t>
      </w:r>
      <w:r>
        <w:rPr>
          <w:i/>
          <w:spacing w:val="-4"/>
          <w:sz w:val="22"/>
        </w:rPr>
        <w:t> </w:t>
      </w:r>
      <w:r>
        <w:rPr>
          <w:i/>
          <w:sz w:val="22"/>
        </w:rPr>
        <w:t>Survey</w:t>
      </w:r>
      <w:r>
        <w:rPr>
          <w:sz w:val="22"/>
        </w:rPr>
        <w:t>.</w:t>
      </w:r>
      <w:r>
        <w:rPr>
          <w:spacing w:val="-4"/>
          <w:sz w:val="22"/>
        </w:rPr>
        <w:t> </w:t>
      </w:r>
      <w:r>
        <w:rPr>
          <w:sz w:val="22"/>
        </w:rPr>
        <w:t>Washington,</w:t>
      </w:r>
      <w:r>
        <w:rPr>
          <w:spacing w:val="-5"/>
          <w:sz w:val="22"/>
        </w:rPr>
        <w:t> </w:t>
      </w:r>
      <w:r>
        <w:rPr>
          <w:sz w:val="22"/>
        </w:rPr>
        <w:t>DC:</w:t>
      </w:r>
      <w:r>
        <w:rPr>
          <w:spacing w:val="-4"/>
          <w:sz w:val="22"/>
        </w:rPr>
        <w:t> </w:t>
      </w:r>
      <w:r>
        <w:rPr>
          <w:sz w:val="22"/>
        </w:rPr>
        <w:t>Author.</w:t>
      </w:r>
      <w:r>
        <w:rPr>
          <w:spacing w:val="-5"/>
          <w:sz w:val="22"/>
        </w:rPr>
        <w:t> </w:t>
      </w:r>
      <w:r>
        <w:rPr>
          <w:sz w:val="22"/>
        </w:rPr>
        <w:t>Retrieved from </w:t>
      </w:r>
      <w:hyperlink r:id="rId9">
        <w:r>
          <w:rPr>
            <w:sz w:val="22"/>
          </w:rPr>
          <w:t>http://www.factfinder2.census.gov</w:t>
        </w:r>
      </w:hyperlink>
    </w:p>
    <w:p>
      <w:pPr>
        <w:pStyle w:val="BodyText"/>
        <w:ind w:left="960" w:right="579" w:hanging="720"/>
      </w:pPr>
      <w:r>
        <w:rPr/>
        <w:t>U.S.</w:t>
      </w:r>
      <w:r>
        <w:rPr>
          <w:spacing w:val="-3"/>
        </w:rPr>
        <w:t> </w:t>
      </w:r>
      <w:r>
        <w:rPr/>
        <w:t>Department</w:t>
      </w:r>
      <w:r>
        <w:rPr>
          <w:spacing w:val="-3"/>
        </w:rPr>
        <w:t> </w:t>
      </w:r>
      <w:r>
        <w:rPr/>
        <w:t>of</w:t>
      </w:r>
      <w:r>
        <w:rPr>
          <w:spacing w:val="-3"/>
        </w:rPr>
        <w:t> </w:t>
      </w:r>
      <w:r>
        <w:rPr/>
        <w:t>Health</w:t>
      </w:r>
      <w:r>
        <w:rPr>
          <w:spacing w:val="-3"/>
        </w:rPr>
        <w:t> </w:t>
      </w:r>
      <w:r>
        <w:rPr/>
        <w:t>and</w:t>
      </w:r>
      <w:r>
        <w:rPr>
          <w:spacing w:val="-3"/>
        </w:rPr>
        <w:t> </w:t>
      </w:r>
      <w:r>
        <w:rPr/>
        <w:t>Human</w:t>
      </w:r>
      <w:r>
        <w:rPr>
          <w:spacing w:val="-3"/>
        </w:rPr>
        <w:t> </w:t>
      </w:r>
      <w:r>
        <w:rPr/>
        <w:t>Services.</w:t>
      </w:r>
      <w:r>
        <w:rPr>
          <w:spacing w:val="-3"/>
        </w:rPr>
        <w:t> </w:t>
      </w:r>
      <w:r>
        <w:rPr/>
        <w:t>(2011).</w:t>
      </w:r>
      <w:r>
        <w:rPr>
          <w:spacing w:val="-5"/>
        </w:rPr>
        <w:t> </w:t>
      </w:r>
      <w:r>
        <w:rPr>
          <w:i/>
        </w:rPr>
        <w:t>Health,</w:t>
      </w:r>
      <w:r>
        <w:rPr>
          <w:i/>
          <w:spacing w:val="-3"/>
        </w:rPr>
        <w:t> </w:t>
      </w:r>
      <w:r>
        <w:rPr>
          <w:i/>
        </w:rPr>
        <w:t>United</w:t>
      </w:r>
      <w:r>
        <w:rPr>
          <w:i/>
          <w:spacing w:val="-3"/>
        </w:rPr>
        <w:t> </w:t>
      </w:r>
      <w:r>
        <w:rPr>
          <w:i/>
        </w:rPr>
        <w:t>States,</w:t>
      </w:r>
      <w:r>
        <w:rPr>
          <w:i/>
          <w:spacing w:val="-4"/>
        </w:rPr>
        <w:t> </w:t>
      </w:r>
      <w:r>
        <w:rPr>
          <w:i/>
        </w:rPr>
        <w:t>2010</w:t>
      </w:r>
      <w:r>
        <w:rPr/>
        <w:t>.</w:t>
      </w:r>
      <w:r>
        <w:rPr>
          <w:spacing w:val="-3"/>
        </w:rPr>
        <w:t> </w:t>
      </w:r>
      <w:r>
        <w:rPr/>
        <w:t>Hyattsville,</w:t>
      </w:r>
      <w:r>
        <w:rPr>
          <w:spacing w:val="-3"/>
        </w:rPr>
        <w:t> </w:t>
      </w:r>
      <w:r>
        <w:rPr/>
        <w:t>MD: National Center for Health Statistics.</w:t>
      </w:r>
    </w:p>
    <w:p>
      <w:pPr>
        <w:spacing w:before="0"/>
        <w:ind w:left="960" w:right="579" w:hanging="720"/>
        <w:jc w:val="left"/>
        <w:rPr>
          <w:sz w:val="22"/>
        </w:rPr>
      </w:pPr>
      <w:r>
        <w:rPr>
          <w:sz w:val="22"/>
        </w:rPr>
        <w:t>U.S.</w:t>
      </w:r>
      <w:r>
        <w:rPr>
          <w:spacing w:val="-4"/>
          <w:sz w:val="22"/>
        </w:rPr>
        <w:t> </w:t>
      </w:r>
      <w:r>
        <w:rPr>
          <w:sz w:val="22"/>
        </w:rPr>
        <w:t>Preventive</w:t>
      </w:r>
      <w:r>
        <w:rPr>
          <w:spacing w:val="-4"/>
          <w:sz w:val="22"/>
        </w:rPr>
        <w:t> </w:t>
      </w:r>
      <w:r>
        <w:rPr>
          <w:sz w:val="22"/>
        </w:rPr>
        <w:t>Services</w:t>
      </w:r>
      <w:r>
        <w:rPr>
          <w:spacing w:val="-4"/>
          <w:sz w:val="22"/>
        </w:rPr>
        <w:t> </w:t>
      </w:r>
      <w:r>
        <w:rPr>
          <w:sz w:val="22"/>
        </w:rPr>
        <w:t>Task</w:t>
      </w:r>
      <w:r>
        <w:rPr>
          <w:spacing w:val="-4"/>
          <w:sz w:val="22"/>
        </w:rPr>
        <w:t> </w:t>
      </w:r>
      <w:r>
        <w:rPr>
          <w:sz w:val="22"/>
        </w:rPr>
        <w:t>Force.</w:t>
      </w:r>
      <w:r>
        <w:rPr>
          <w:spacing w:val="-4"/>
          <w:sz w:val="22"/>
        </w:rPr>
        <w:t> </w:t>
      </w:r>
      <w:r>
        <w:rPr>
          <w:sz w:val="22"/>
        </w:rPr>
        <w:t>(2008).</w:t>
      </w:r>
      <w:r>
        <w:rPr>
          <w:spacing w:val="-5"/>
          <w:sz w:val="22"/>
        </w:rPr>
        <w:t> </w:t>
      </w:r>
      <w:r>
        <w:rPr>
          <w:i/>
          <w:sz w:val="22"/>
        </w:rPr>
        <w:t>Screening</w:t>
      </w:r>
      <w:r>
        <w:rPr>
          <w:i/>
          <w:spacing w:val="-4"/>
          <w:sz w:val="22"/>
        </w:rPr>
        <w:t> </w:t>
      </w:r>
      <w:r>
        <w:rPr>
          <w:i/>
          <w:sz w:val="22"/>
        </w:rPr>
        <w:t>for</w:t>
      </w:r>
      <w:r>
        <w:rPr>
          <w:i/>
          <w:spacing w:val="-4"/>
          <w:sz w:val="22"/>
        </w:rPr>
        <w:t> </w:t>
      </w:r>
      <w:r>
        <w:rPr>
          <w:i/>
          <w:sz w:val="22"/>
        </w:rPr>
        <w:t>Colorectal</w:t>
      </w:r>
      <w:r>
        <w:rPr>
          <w:i/>
          <w:spacing w:val="-4"/>
          <w:sz w:val="22"/>
        </w:rPr>
        <w:t> </w:t>
      </w:r>
      <w:r>
        <w:rPr>
          <w:i/>
          <w:sz w:val="22"/>
        </w:rPr>
        <w:t>Cancer:</w:t>
      </w:r>
      <w:r>
        <w:rPr>
          <w:i/>
          <w:spacing w:val="-4"/>
          <w:sz w:val="22"/>
        </w:rPr>
        <w:t> </w:t>
      </w:r>
      <w:r>
        <w:rPr>
          <w:i/>
          <w:sz w:val="22"/>
        </w:rPr>
        <w:t>U.S.</w:t>
      </w:r>
      <w:r>
        <w:rPr>
          <w:i/>
          <w:spacing w:val="-4"/>
          <w:sz w:val="22"/>
        </w:rPr>
        <w:t> </w:t>
      </w:r>
      <w:r>
        <w:rPr>
          <w:i/>
          <w:sz w:val="22"/>
        </w:rPr>
        <w:t>Preventive</w:t>
      </w:r>
      <w:r>
        <w:rPr>
          <w:i/>
          <w:spacing w:val="-4"/>
          <w:sz w:val="22"/>
        </w:rPr>
        <w:t> </w:t>
      </w:r>
      <w:r>
        <w:rPr>
          <w:i/>
          <w:sz w:val="22"/>
        </w:rPr>
        <w:t>Services</w:t>
      </w:r>
      <w:r>
        <w:rPr>
          <w:i/>
          <w:sz w:val="22"/>
        </w:rPr>
        <w:t> Task Force Recommendation Statement</w:t>
      </w:r>
      <w:r>
        <w:rPr>
          <w:sz w:val="22"/>
        </w:rPr>
        <w:t>. AHRQ Publication 08-05124-EF-3, October 2008. Retrieved from </w:t>
      </w:r>
      <w:hyperlink r:id="rId10">
        <w:r>
          <w:rPr>
            <w:color w:val="0000FF"/>
            <w:sz w:val="22"/>
            <w:u w:val="single" w:color="0000FF"/>
          </w:rPr>
          <w:t>http://www.uspreventiveservicestaskforce.org/uspstf08/colocancer/colors.htm</w:t>
        </w:r>
      </w:hyperlink>
    </w:p>
    <w:p>
      <w:pPr>
        <w:pStyle w:val="BodyText"/>
        <w:ind w:left="960" w:right="579" w:hanging="720"/>
      </w:pPr>
      <w:r>
        <w:rPr/>
        <w:t>Wang, J. H., Schwartz, M. D., Luta, G., Maxwell, A. E., and Mandelblatt, J. S. (2012). Intervention tailoring for Chinese American women: Comparing the effects of two videos on knowledge, attitudes</w:t>
      </w:r>
      <w:r>
        <w:rPr>
          <w:spacing w:val="-4"/>
        </w:rPr>
        <w:t> </w:t>
      </w:r>
      <w:r>
        <w:rPr/>
        <w:t>and</w:t>
      </w:r>
      <w:r>
        <w:rPr>
          <w:spacing w:val="-4"/>
        </w:rPr>
        <w:t> </w:t>
      </w:r>
      <w:r>
        <w:rPr/>
        <w:t>intentions</w:t>
      </w:r>
      <w:r>
        <w:rPr>
          <w:spacing w:val="-4"/>
        </w:rPr>
        <w:t> </w:t>
      </w:r>
      <w:r>
        <w:rPr/>
        <w:t>to</w:t>
      </w:r>
      <w:r>
        <w:rPr>
          <w:spacing w:val="-5"/>
        </w:rPr>
        <w:t> </w:t>
      </w:r>
      <w:r>
        <w:rPr/>
        <w:t>obtain</w:t>
      </w:r>
      <w:r>
        <w:rPr>
          <w:spacing w:val="-4"/>
        </w:rPr>
        <w:t> </w:t>
      </w:r>
      <w:r>
        <w:rPr/>
        <w:t>a</w:t>
      </w:r>
      <w:r>
        <w:rPr>
          <w:spacing w:val="-4"/>
        </w:rPr>
        <w:t> </w:t>
      </w:r>
      <w:r>
        <w:rPr/>
        <w:t>mammogram.</w:t>
      </w:r>
      <w:r>
        <w:rPr>
          <w:spacing w:val="-4"/>
        </w:rPr>
        <w:t> </w:t>
      </w:r>
      <w:r>
        <w:rPr>
          <w:i/>
        </w:rPr>
        <w:t>Health</w:t>
      </w:r>
      <w:r>
        <w:rPr>
          <w:i/>
          <w:spacing w:val="-4"/>
        </w:rPr>
        <w:t> </w:t>
      </w:r>
      <w:r>
        <w:rPr>
          <w:i/>
        </w:rPr>
        <w:t>Education</w:t>
      </w:r>
      <w:r>
        <w:rPr>
          <w:i/>
          <w:spacing w:val="-4"/>
        </w:rPr>
        <w:t> </w:t>
      </w:r>
      <w:r>
        <w:rPr>
          <w:i/>
        </w:rPr>
        <w:t>Research,</w:t>
      </w:r>
      <w:r>
        <w:rPr>
          <w:i/>
          <w:spacing w:val="-4"/>
        </w:rPr>
        <w:t> </w:t>
      </w:r>
      <w:r>
        <w:rPr>
          <w:i/>
        </w:rPr>
        <w:t>27</w:t>
      </w:r>
      <w:r>
        <w:rPr/>
        <w:t>(3),</w:t>
      </w:r>
      <w:r>
        <w:rPr>
          <w:spacing w:val="-4"/>
        </w:rPr>
        <w:t> </w:t>
      </w:r>
      <w:r>
        <w:rPr/>
        <w:t>523-536.</w:t>
      </w:r>
    </w:p>
    <w:p>
      <w:pPr>
        <w:spacing w:after="0"/>
        <w:sectPr>
          <w:pgSz w:w="12240" w:h="15840"/>
          <w:pgMar w:header="723" w:footer="1065" w:top="1340" w:bottom="1260" w:left="1200" w:right="980"/>
        </w:sectPr>
      </w:pPr>
    </w:p>
    <w:p>
      <w:pPr>
        <w:pStyle w:val="BodyText"/>
        <w:spacing w:before="81"/>
        <w:ind w:left="3948"/>
      </w:pPr>
      <w:r>
        <w:rPr>
          <w:u w:val="single"/>
        </w:rPr>
        <w:t>Author</w:t>
      </w:r>
      <w:r>
        <w:rPr>
          <w:spacing w:val="-7"/>
          <w:u w:val="single"/>
        </w:rPr>
        <w:t> </w:t>
      </w:r>
      <w:r>
        <w:rPr>
          <w:spacing w:val="-2"/>
          <w:u w:val="single"/>
        </w:rPr>
        <w:t>Information</w:t>
      </w:r>
    </w:p>
    <w:p>
      <w:pPr>
        <w:pStyle w:val="BodyText"/>
        <w:ind w:left="3947"/>
      </w:pPr>
      <w:r>
        <w:rPr>
          <w:sz w:val="18"/>
        </w:rPr>
        <w:t>*</w:t>
      </w:r>
      <w:r>
        <w:rPr/>
        <w:t>Roger</w:t>
      </w:r>
      <w:r>
        <w:rPr>
          <w:spacing w:val="-5"/>
        </w:rPr>
        <w:t> </w:t>
      </w:r>
      <w:r>
        <w:rPr/>
        <w:t>Sur,</w:t>
      </w:r>
      <w:r>
        <w:rPr>
          <w:spacing w:val="-5"/>
        </w:rPr>
        <w:t> MPH</w:t>
      </w:r>
    </w:p>
    <w:p>
      <w:pPr>
        <w:pStyle w:val="BodyText"/>
        <w:ind w:left="3948" w:right="1902"/>
      </w:pPr>
      <w:r>
        <w:rPr/>
        <w:t>California</w:t>
      </w:r>
      <w:r>
        <w:rPr>
          <w:spacing w:val="-14"/>
        </w:rPr>
        <w:t> </w:t>
      </w:r>
      <w:r>
        <w:rPr/>
        <w:t>State</w:t>
      </w:r>
      <w:r>
        <w:rPr>
          <w:spacing w:val="-13"/>
        </w:rPr>
        <w:t> </w:t>
      </w:r>
      <w:r>
        <w:rPr/>
        <w:t>University</w:t>
      </w:r>
      <w:r>
        <w:rPr>
          <w:spacing w:val="-14"/>
        </w:rPr>
        <w:t> </w:t>
      </w:r>
      <w:r>
        <w:rPr/>
        <w:t>Fullerton Department of Health Science</w:t>
      </w:r>
    </w:p>
    <w:p>
      <w:pPr>
        <w:pStyle w:val="BodyText"/>
        <w:ind w:left="3948" w:right="3360"/>
      </w:pPr>
      <w:r>
        <w:rPr/>
        <w:t>800</w:t>
      </w:r>
      <w:r>
        <w:rPr>
          <w:spacing w:val="-10"/>
        </w:rPr>
        <w:t> </w:t>
      </w:r>
      <w:r>
        <w:rPr/>
        <w:t>N.</w:t>
      </w:r>
      <w:r>
        <w:rPr>
          <w:spacing w:val="-10"/>
        </w:rPr>
        <w:t> </w:t>
      </w:r>
      <w:r>
        <w:rPr/>
        <w:t>State</w:t>
      </w:r>
      <w:r>
        <w:rPr>
          <w:spacing w:val="-10"/>
        </w:rPr>
        <w:t> </w:t>
      </w:r>
      <w:r>
        <w:rPr/>
        <w:t>College</w:t>
      </w:r>
      <w:r>
        <w:rPr>
          <w:spacing w:val="-10"/>
        </w:rPr>
        <w:t> </w:t>
      </w:r>
      <w:r>
        <w:rPr/>
        <w:t>Blvd.</w:t>
      </w:r>
      <w:r>
        <w:rPr/>
        <w:t> KHS 115</w:t>
      </w:r>
    </w:p>
    <w:p>
      <w:pPr>
        <w:pStyle w:val="BodyText"/>
        <w:ind w:left="3947" w:right="3684"/>
      </w:pPr>
      <w:r>
        <w:rPr/>
        <w:t>Fullerton, CA 92831</w:t>
      </w:r>
      <w:r>
        <w:rPr>
          <w:spacing w:val="40"/>
        </w:rPr>
        <w:t> </w:t>
      </w:r>
      <w:r>
        <w:rPr/>
        <w:t>Email:</w:t>
      </w:r>
      <w:r>
        <w:rPr>
          <w:spacing w:val="-14"/>
        </w:rPr>
        <w:t> </w:t>
      </w:r>
      <w:hyperlink r:id="rId11">
        <w:r>
          <w:rPr>
            <w:color w:val="0000FF"/>
            <w:u w:val="single" w:color="0000FF"/>
          </w:rPr>
          <w:t>rosur@fullerton.edu</w:t>
        </w:r>
      </w:hyperlink>
      <w:r>
        <w:rPr>
          <w:color w:val="0000FF"/>
          <w:u w:val="none"/>
        </w:rPr>
        <w:t> </w:t>
      </w:r>
      <w:r>
        <w:rPr>
          <w:u w:val="none"/>
        </w:rPr>
        <w:t>Phone: 657-278-3197</w:t>
      </w:r>
    </w:p>
    <w:p>
      <w:pPr>
        <w:pStyle w:val="BodyText"/>
        <w:spacing w:before="252"/>
        <w:ind w:left="3947"/>
      </w:pPr>
      <w:r>
        <w:rPr/>
        <w:t>Ruth</w:t>
      </w:r>
      <w:r>
        <w:rPr>
          <w:spacing w:val="-6"/>
        </w:rPr>
        <w:t> </w:t>
      </w:r>
      <w:r>
        <w:rPr/>
        <w:t>Peters,</w:t>
      </w:r>
      <w:r>
        <w:rPr>
          <w:spacing w:val="-5"/>
        </w:rPr>
        <w:t> MPH</w:t>
      </w:r>
    </w:p>
    <w:p>
      <w:pPr>
        <w:pStyle w:val="BodyText"/>
        <w:spacing w:before="1"/>
        <w:ind w:left="3947" w:right="2797"/>
      </w:pPr>
      <w:r>
        <w:rPr/>
        <w:t>California</w:t>
      </w:r>
      <w:r>
        <w:rPr>
          <w:spacing w:val="-13"/>
        </w:rPr>
        <w:t> </w:t>
      </w:r>
      <w:r>
        <w:rPr/>
        <w:t>State</w:t>
      </w:r>
      <w:r>
        <w:rPr>
          <w:spacing w:val="-13"/>
        </w:rPr>
        <w:t> </w:t>
      </w:r>
      <w:r>
        <w:rPr/>
        <w:t>University</w:t>
      </w:r>
      <w:r>
        <w:rPr>
          <w:spacing w:val="-13"/>
        </w:rPr>
        <w:t> </w:t>
      </w:r>
      <w:r>
        <w:rPr/>
        <w:t>Fullerton Department of Health Science</w:t>
      </w:r>
    </w:p>
    <w:p>
      <w:pPr>
        <w:pStyle w:val="BodyText"/>
        <w:spacing w:before="252"/>
        <w:ind w:left="3947"/>
      </w:pPr>
      <w:r>
        <w:rPr/>
        <w:t>Leah</w:t>
      </w:r>
      <w:r>
        <w:rPr>
          <w:spacing w:val="-6"/>
        </w:rPr>
        <w:t> </w:t>
      </w:r>
      <w:r>
        <w:rPr/>
        <w:t>Leilani</w:t>
      </w:r>
      <w:r>
        <w:rPr>
          <w:spacing w:val="-5"/>
        </w:rPr>
        <w:t> </w:t>
      </w:r>
      <w:r>
        <w:rPr>
          <w:spacing w:val="-4"/>
        </w:rPr>
        <w:t>Beck</w:t>
      </w:r>
    </w:p>
    <w:p>
      <w:pPr>
        <w:pStyle w:val="BodyText"/>
        <w:ind w:left="3947"/>
      </w:pPr>
      <w:r>
        <w:rPr/>
        <w:t>St.</w:t>
      </w:r>
      <w:r>
        <w:rPr>
          <w:spacing w:val="-5"/>
        </w:rPr>
        <w:t> </w:t>
      </w:r>
      <w:r>
        <w:rPr/>
        <w:t>Joseph</w:t>
      </w:r>
      <w:r>
        <w:rPr>
          <w:spacing w:val="-5"/>
        </w:rPr>
        <w:t> </w:t>
      </w:r>
      <w:r>
        <w:rPr/>
        <w:t>Hospital</w:t>
      </w:r>
      <w:r>
        <w:rPr>
          <w:spacing w:val="-4"/>
        </w:rPr>
        <w:t> </w:t>
      </w:r>
      <w:r>
        <w:rPr/>
        <w:t>of</w:t>
      </w:r>
      <w:r>
        <w:rPr>
          <w:spacing w:val="-5"/>
        </w:rPr>
        <w:t> </w:t>
      </w:r>
      <w:r>
        <w:rPr>
          <w:spacing w:val="-2"/>
        </w:rPr>
        <w:t>Orange</w:t>
      </w:r>
    </w:p>
    <w:p>
      <w:pPr>
        <w:pStyle w:val="BodyText"/>
        <w:spacing w:before="1"/>
        <w:ind w:left="3947"/>
      </w:pPr>
      <w:r>
        <w:rPr/>
        <w:t>Center</w:t>
      </w:r>
      <w:r>
        <w:rPr>
          <w:spacing w:val="-6"/>
        </w:rPr>
        <w:t> </w:t>
      </w:r>
      <w:r>
        <w:rPr/>
        <w:t>for</w:t>
      </w:r>
      <w:r>
        <w:rPr>
          <w:spacing w:val="-5"/>
        </w:rPr>
        <w:t> </w:t>
      </w:r>
      <w:r>
        <w:rPr/>
        <w:t>Cancer</w:t>
      </w:r>
      <w:r>
        <w:rPr>
          <w:spacing w:val="-6"/>
        </w:rPr>
        <w:t> </w:t>
      </w:r>
      <w:r>
        <w:rPr/>
        <w:t>Prevention</w:t>
      </w:r>
      <w:r>
        <w:rPr>
          <w:spacing w:val="-5"/>
        </w:rPr>
        <w:t> </w:t>
      </w:r>
      <w:r>
        <w:rPr/>
        <w:t>and</w:t>
      </w:r>
      <w:r>
        <w:rPr>
          <w:spacing w:val="-6"/>
        </w:rPr>
        <w:t> </w:t>
      </w:r>
      <w:r>
        <w:rPr>
          <w:spacing w:val="-2"/>
        </w:rPr>
        <w:t>Treatment</w:t>
      </w:r>
    </w:p>
    <w:p>
      <w:pPr>
        <w:pStyle w:val="BodyText"/>
      </w:pPr>
    </w:p>
    <w:p>
      <w:pPr>
        <w:pStyle w:val="BodyText"/>
        <w:spacing w:line="252" w:lineRule="exact"/>
        <w:ind w:left="3947"/>
      </w:pPr>
      <w:r>
        <w:rPr/>
        <w:t>Melevesi</w:t>
      </w:r>
      <w:r>
        <w:rPr>
          <w:spacing w:val="-9"/>
        </w:rPr>
        <w:t> </w:t>
      </w:r>
      <w:r>
        <w:rPr>
          <w:spacing w:val="-2"/>
        </w:rPr>
        <w:t>Fifita</w:t>
      </w:r>
    </w:p>
    <w:p>
      <w:pPr>
        <w:pStyle w:val="BodyText"/>
        <w:spacing w:line="252" w:lineRule="exact"/>
        <w:ind w:left="3947"/>
      </w:pPr>
      <w:r>
        <w:rPr/>
        <w:t>Pacific</w:t>
      </w:r>
      <w:r>
        <w:rPr>
          <w:spacing w:val="-7"/>
        </w:rPr>
        <w:t> </w:t>
      </w:r>
      <w:r>
        <w:rPr/>
        <w:t>Islander</w:t>
      </w:r>
      <w:r>
        <w:rPr>
          <w:spacing w:val="-6"/>
        </w:rPr>
        <w:t> </w:t>
      </w:r>
      <w:r>
        <w:rPr/>
        <w:t>Health</w:t>
      </w:r>
      <w:r>
        <w:rPr>
          <w:spacing w:val="-7"/>
        </w:rPr>
        <w:t> </w:t>
      </w:r>
      <w:r>
        <w:rPr>
          <w:spacing w:val="-2"/>
        </w:rPr>
        <w:t>Partnership</w:t>
      </w:r>
    </w:p>
    <w:p>
      <w:pPr>
        <w:pStyle w:val="BodyText"/>
      </w:pPr>
    </w:p>
    <w:p>
      <w:pPr>
        <w:pStyle w:val="BodyText"/>
        <w:ind w:left="3947"/>
      </w:pPr>
      <w:r>
        <w:rPr/>
        <w:t>Maria</w:t>
      </w:r>
      <w:r>
        <w:rPr>
          <w:spacing w:val="-10"/>
        </w:rPr>
        <w:t> </w:t>
      </w:r>
      <w:r>
        <w:rPr>
          <w:spacing w:val="-2"/>
        </w:rPr>
        <w:t>Gonzalez</w:t>
      </w:r>
    </w:p>
    <w:p>
      <w:pPr>
        <w:pStyle w:val="BodyText"/>
        <w:spacing w:before="1"/>
        <w:ind w:left="3947"/>
      </w:pPr>
      <w:r>
        <w:rPr/>
        <w:t>St.</w:t>
      </w:r>
      <w:r>
        <w:rPr>
          <w:spacing w:val="-5"/>
        </w:rPr>
        <w:t> </w:t>
      </w:r>
      <w:r>
        <w:rPr/>
        <w:t>Joseph</w:t>
      </w:r>
      <w:r>
        <w:rPr>
          <w:spacing w:val="-5"/>
        </w:rPr>
        <w:t> </w:t>
      </w:r>
      <w:r>
        <w:rPr/>
        <w:t>Hospital</w:t>
      </w:r>
      <w:r>
        <w:rPr>
          <w:spacing w:val="-4"/>
        </w:rPr>
        <w:t> </w:t>
      </w:r>
      <w:r>
        <w:rPr/>
        <w:t>of</w:t>
      </w:r>
      <w:r>
        <w:rPr>
          <w:spacing w:val="-5"/>
        </w:rPr>
        <w:t> </w:t>
      </w:r>
      <w:r>
        <w:rPr>
          <w:spacing w:val="-2"/>
        </w:rPr>
        <w:t>Orange</w:t>
      </w:r>
    </w:p>
    <w:p>
      <w:pPr>
        <w:pStyle w:val="BodyText"/>
        <w:ind w:left="3947" w:right="1902"/>
      </w:pPr>
      <w:r>
        <w:rPr/>
        <w:t>Center</w:t>
      </w:r>
      <w:r>
        <w:rPr>
          <w:spacing w:val="-8"/>
        </w:rPr>
        <w:t> </w:t>
      </w:r>
      <w:r>
        <w:rPr/>
        <w:t>for</w:t>
      </w:r>
      <w:r>
        <w:rPr>
          <w:spacing w:val="-8"/>
        </w:rPr>
        <w:t> </w:t>
      </w:r>
      <w:r>
        <w:rPr/>
        <w:t>Cancer</w:t>
      </w:r>
      <w:r>
        <w:rPr>
          <w:spacing w:val="-8"/>
        </w:rPr>
        <w:t> </w:t>
      </w:r>
      <w:r>
        <w:rPr/>
        <w:t>Prevention</w:t>
      </w:r>
      <w:r>
        <w:rPr>
          <w:spacing w:val="-8"/>
        </w:rPr>
        <w:t> </w:t>
      </w:r>
      <w:r>
        <w:rPr/>
        <w:t>and</w:t>
      </w:r>
      <w:r>
        <w:rPr>
          <w:spacing w:val="-8"/>
        </w:rPr>
        <w:t> </w:t>
      </w:r>
      <w:r>
        <w:rPr/>
        <w:t>Treatment Linda Guevara</w:t>
      </w:r>
    </w:p>
    <w:p>
      <w:pPr>
        <w:pStyle w:val="BodyText"/>
        <w:spacing w:line="252" w:lineRule="exact"/>
        <w:ind w:left="3947"/>
      </w:pPr>
      <w:r>
        <w:rPr/>
        <w:t>Guam</w:t>
      </w:r>
      <w:r>
        <w:rPr>
          <w:spacing w:val="-12"/>
        </w:rPr>
        <w:t> </w:t>
      </w:r>
      <w:r>
        <w:rPr/>
        <w:t>Communications</w:t>
      </w:r>
      <w:r>
        <w:rPr>
          <w:spacing w:val="-10"/>
        </w:rPr>
        <w:t> </w:t>
      </w:r>
      <w:r>
        <w:rPr>
          <w:spacing w:val="-2"/>
        </w:rPr>
        <w:t>Network</w:t>
      </w:r>
    </w:p>
    <w:p>
      <w:pPr>
        <w:pStyle w:val="BodyText"/>
      </w:pPr>
    </w:p>
    <w:p>
      <w:pPr>
        <w:pStyle w:val="BodyText"/>
        <w:ind w:left="3947" w:right="2797"/>
      </w:pPr>
      <w:r>
        <w:rPr/>
        <w:t>Paula Healani Palmer, PhD Claremont</w:t>
      </w:r>
      <w:r>
        <w:rPr>
          <w:spacing w:val="-14"/>
        </w:rPr>
        <w:t> </w:t>
      </w:r>
      <w:r>
        <w:rPr/>
        <w:t>Graduate</w:t>
      </w:r>
      <w:r>
        <w:rPr>
          <w:spacing w:val="-14"/>
        </w:rPr>
        <w:t> </w:t>
      </w:r>
      <w:r>
        <w:rPr/>
        <w:t>University Community and Global Health</w:t>
      </w:r>
    </w:p>
    <w:p>
      <w:pPr>
        <w:pStyle w:val="BodyText"/>
      </w:pPr>
    </w:p>
    <w:p>
      <w:pPr>
        <w:pStyle w:val="BodyText"/>
        <w:ind w:left="3947" w:right="2879"/>
      </w:pPr>
      <w:r>
        <w:rPr/>
        <w:t>Sora Park Tanjasiri, DrPH</w:t>
      </w:r>
      <w:r>
        <w:rPr>
          <w:spacing w:val="40"/>
        </w:rPr>
        <w:t> </w:t>
      </w:r>
      <w:r>
        <w:rPr/>
        <w:t>California</w:t>
      </w:r>
      <w:r>
        <w:rPr>
          <w:spacing w:val="-13"/>
        </w:rPr>
        <w:t> </w:t>
      </w:r>
      <w:r>
        <w:rPr/>
        <w:t>State</w:t>
      </w:r>
      <w:r>
        <w:rPr>
          <w:spacing w:val="-13"/>
        </w:rPr>
        <w:t> </w:t>
      </w:r>
      <w:r>
        <w:rPr/>
        <w:t>University</w:t>
      </w:r>
      <w:r>
        <w:rPr>
          <w:spacing w:val="-13"/>
        </w:rPr>
        <w:t> </w:t>
      </w:r>
      <w:r>
        <w:rPr/>
        <w:t>Fullerton Department of Health Science</w:t>
      </w:r>
    </w:p>
    <w:p>
      <w:pPr>
        <w:spacing w:before="252"/>
        <w:ind w:left="3947" w:right="0" w:firstLine="0"/>
        <w:jc w:val="left"/>
        <w:rPr>
          <w:sz w:val="18"/>
        </w:rPr>
      </w:pPr>
      <w:r>
        <w:rPr>
          <w:sz w:val="18"/>
        </w:rPr>
        <w:t>* corresponding</w:t>
      </w:r>
      <w:r>
        <w:rPr>
          <w:spacing w:val="-2"/>
          <w:sz w:val="18"/>
        </w:rPr>
        <w:t> author</w:t>
      </w:r>
    </w:p>
    <w:sectPr>
      <w:pgSz w:w="12240" w:h="15840"/>
      <w:pgMar w:header="723" w:footer="1065" w:top="1340" w:bottom="1260" w:left="1200" w:right="9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7063552">
              <wp:simplePos x="0" y="0"/>
              <wp:positionH relativeFrom="page">
                <wp:posOffset>3771900</wp:posOffset>
              </wp:positionH>
              <wp:positionV relativeFrom="page">
                <wp:posOffset>9242380</wp:posOffset>
              </wp:positionV>
              <wp:extent cx="241300" cy="19431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241300" cy="194310"/>
                      </a:xfrm>
                      <a:prstGeom prst="rect">
                        <a:avLst/>
                      </a:prstGeom>
                    </wps:spPr>
                    <wps:txbx>
                      <w:txbxContent>
                        <w:p>
                          <w:pPr>
                            <w:spacing w:before="10"/>
                            <w:ind w:left="60" w:right="0" w:firstLine="0"/>
                            <w:jc w:val="left"/>
                            <w:rPr>
                              <w:sz w:val="24"/>
                            </w:rPr>
                          </w:pPr>
                          <w:r>
                            <w:rPr>
                              <w:spacing w:val="-5"/>
                              <w:sz w:val="24"/>
                            </w:rPr>
                            <w:fldChar w:fldCharType="begin"/>
                          </w:r>
                          <w:r>
                            <w:rPr>
                              <w:spacing w:val="-5"/>
                              <w:sz w:val="24"/>
                            </w:rPr>
                            <w:instrText> PAGE </w:instrText>
                          </w:r>
                          <w:r>
                            <w:rPr>
                              <w:spacing w:val="-5"/>
                              <w:sz w:val="24"/>
                            </w:rPr>
                            <w:fldChar w:fldCharType="separate"/>
                          </w:r>
                          <w:r>
                            <w:rPr>
                              <w:spacing w:val="-5"/>
                              <w:sz w:val="24"/>
                            </w:rPr>
                            <w:t>12</w:t>
                          </w:r>
                          <w:r>
                            <w:rPr>
                              <w:spacing w:val="-5"/>
                              <w:sz w:val="24"/>
                            </w:rPr>
                            <w:fldChar w:fldCharType="end"/>
                          </w:r>
                        </w:p>
                      </w:txbxContent>
                    </wps:txbx>
                    <wps:bodyPr wrap="square" lIns="0" tIns="0" rIns="0" bIns="0" rtlCol="0">
                      <a:noAutofit/>
                    </wps:bodyPr>
                  </wps:wsp>
                </a:graphicData>
              </a:graphic>
            </wp:anchor>
          </w:drawing>
        </mc:Choice>
        <mc:Fallback>
          <w:pict>
            <v:shape style="position:absolute;margin-left:297pt;margin-top:727.746521pt;width:19pt;height:15.3pt;mso-position-horizontal-relative:page;mso-position-vertical-relative:page;z-index:-16252928" type="#_x0000_t202" id="docshape2" filled="false" stroked="false">
              <v:textbox inset="0,0,0,0">
                <w:txbxContent>
                  <w:p>
                    <w:pPr>
                      <w:spacing w:before="10"/>
                      <w:ind w:left="60" w:right="0" w:firstLine="0"/>
                      <w:jc w:val="left"/>
                      <w:rPr>
                        <w:sz w:val="24"/>
                      </w:rPr>
                    </w:pPr>
                    <w:r>
                      <w:rPr>
                        <w:spacing w:val="-5"/>
                        <w:sz w:val="24"/>
                      </w:rPr>
                      <w:fldChar w:fldCharType="begin"/>
                    </w:r>
                    <w:r>
                      <w:rPr>
                        <w:spacing w:val="-5"/>
                        <w:sz w:val="24"/>
                      </w:rPr>
                      <w:instrText> PAGE </w:instrText>
                    </w:r>
                    <w:r>
                      <w:rPr>
                        <w:spacing w:val="-5"/>
                        <w:sz w:val="24"/>
                      </w:rPr>
                      <w:fldChar w:fldCharType="separate"/>
                    </w:r>
                    <w:r>
                      <w:rPr>
                        <w:spacing w:val="-5"/>
                        <w:sz w:val="24"/>
                      </w:rPr>
                      <w:t>12</w:t>
                    </w:r>
                    <w:r>
                      <w:rPr>
                        <w:spacing w:val="-5"/>
                        <w:sz w:val="24"/>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7063040">
              <wp:simplePos x="0" y="0"/>
              <wp:positionH relativeFrom="page">
                <wp:posOffset>970280</wp:posOffset>
              </wp:positionH>
              <wp:positionV relativeFrom="page">
                <wp:posOffset>446391</wp:posOffset>
              </wp:positionV>
              <wp:extent cx="5320030" cy="25463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5320030" cy="254635"/>
                      </a:xfrm>
                      <a:prstGeom prst="rect">
                        <a:avLst/>
                      </a:prstGeom>
                    </wps:spPr>
                    <wps:txbx>
                      <w:txbxContent>
                        <w:p>
                          <w:pPr>
                            <w:spacing w:before="13"/>
                            <w:ind w:left="20" w:right="18" w:firstLine="0"/>
                            <w:jc w:val="left"/>
                            <w:rPr>
                              <w:i/>
                              <w:sz w:val="16"/>
                            </w:rPr>
                          </w:pPr>
                          <w:r>
                            <w:rPr>
                              <w:i/>
                              <w:sz w:val="16"/>
                            </w:rPr>
                            <w:t>Sur,</w:t>
                          </w:r>
                          <w:r>
                            <w:rPr>
                              <w:i/>
                              <w:spacing w:val="-3"/>
                              <w:sz w:val="16"/>
                            </w:rPr>
                            <w:t> </w:t>
                          </w:r>
                          <w:r>
                            <w:rPr>
                              <w:i/>
                              <w:sz w:val="16"/>
                            </w:rPr>
                            <w:t>R.,</w:t>
                          </w:r>
                          <w:r>
                            <w:rPr>
                              <w:i/>
                              <w:spacing w:val="-2"/>
                              <w:sz w:val="16"/>
                            </w:rPr>
                            <w:t> </w:t>
                          </w:r>
                          <w:r>
                            <w:rPr>
                              <w:i/>
                              <w:sz w:val="16"/>
                            </w:rPr>
                            <w:t>Beck,</w:t>
                          </w:r>
                          <w:r>
                            <w:rPr>
                              <w:i/>
                              <w:spacing w:val="-3"/>
                              <w:sz w:val="16"/>
                            </w:rPr>
                            <w:t> </w:t>
                          </w:r>
                          <w:r>
                            <w:rPr>
                              <w:i/>
                              <w:sz w:val="16"/>
                            </w:rPr>
                            <w:t>L.L.,</w:t>
                          </w:r>
                          <w:r>
                            <w:rPr>
                              <w:i/>
                              <w:spacing w:val="-2"/>
                              <w:sz w:val="16"/>
                            </w:rPr>
                            <w:t> </w:t>
                          </w:r>
                          <w:r>
                            <w:rPr>
                              <w:i/>
                              <w:sz w:val="16"/>
                            </w:rPr>
                            <w:t>Fifita,</w:t>
                          </w:r>
                          <w:r>
                            <w:rPr>
                              <w:i/>
                              <w:spacing w:val="-3"/>
                              <w:sz w:val="16"/>
                            </w:rPr>
                            <w:t> </w:t>
                          </w:r>
                          <w:r>
                            <w:rPr>
                              <w:i/>
                              <w:sz w:val="16"/>
                            </w:rPr>
                            <w:t>M.,</w:t>
                          </w:r>
                          <w:r>
                            <w:rPr>
                              <w:i/>
                              <w:spacing w:val="-2"/>
                              <w:sz w:val="16"/>
                            </w:rPr>
                            <w:t> </w:t>
                          </w:r>
                          <w:r>
                            <w:rPr>
                              <w:i/>
                              <w:sz w:val="16"/>
                            </w:rPr>
                            <w:t>Gonzalez,</w:t>
                          </w:r>
                          <w:r>
                            <w:rPr>
                              <w:i/>
                              <w:spacing w:val="-3"/>
                              <w:sz w:val="16"/>
                            </w:rPr>
                            <w:t> </w:t>
                          </w:r>
                          <w:r>
                            <w:rPr>
                              <w:i/>
                              <w:sz w:val="16"/>
                            </w:rPr>
                            <w:t>M.,</w:t>
                          </w:r>
                          <w:r>
                            <w:rPr>
                              <w:i/>
                              <w:spacing w:val="-2"/>
                              <w:sz w:val="16"/>
                            </w:rPr>
                            <w:t> </w:t>
                          </w:r>
                          <w:r>
                            <w:rPr>
                              <w:i/>
                              <w:sz w:val="16"/>
                            </w:rPr>
                            <w:t>Guevara,</w:t>
                          </w:r>
                          <w:r>
                            <w:rPr>
                              <w:i/>
                              <w:spacing w:val="-3"/>
                              <w:sz w:val="16"/>
                            </w:rPr>
                            <w:t> </w:t>
                          </w:r>
                          <w:r>
                            <w:rPr>
                              <w:i/>
                              <w:sz w:val="16"/>
                            </w:rPr>
                            <w:t>L.,</w:t>
                          </w:r>
                          <w:r>
                            <w:rPr>
                              <w:i/>
                              <w:spacing w:val="-3"/>
                              <w:sz w:val="16"/>
                            </w:rPr>
                            <w:t> </w:t>
                          </w:r>
                          <w:r>
                            <w:rPr>
                              <w:i/>
                              <w:sz w:val="16"/>
                            </w:rPr>
                            <w:t>Palmer,</w:t>
                          </w:r>
                          <w:r>
                            <w:rPr>
                              <w:i/>
                              <w:spacing w:val="-2"/>
                              <w:sz w:val="16"/>
                            </w:rPr>
                            <w:t> </w:t>
                          </w:r>
                          <w:r>
                            <w:rPr>
                              <w:i/>
                              <w:sz w:val="16"/>
                            </w:rPr>
                            <w:t>P.H.,</w:t>
                          </w:r>
                          <w:r>
                            <w:rPr>
                              <w:i/>
                              <w:spacing w:val="-3"/>
                              <w:sz w:val="16"/>
                            </w:rPr>
                            <w:t> </w:t>
                          </w:r>
                          <w:r>
                            <w:rPr>
                              <w:i/>
                              <w:sz w:val="16"/>
                            </w:rPr>
                            <w:t>Tanjasiri,</w:t>
                          </w:r>
                          <w:r>
                            <w:rPr>
                              <w:i/>
                              <w:spacing w:val="-3"/>
                              <w:sz w:val="16"/>
                            </w:rPr>
                            <w:t> </w:t>
                          </w:r>
                          <w:r>
                            <w:rPr>
                              <w:i/>
                              <w:sz w:val="16"/>
                            </w:rPr>
                            <w:t>S.P.</w:t>
                          </w:r>
                          <w:r>
                            <w:rPr>
                              <w:i/>
                              <w:spacing w:val="-3"/>
                              <w:sz w:val="16"/>
                            </w:rPr>
                            <w:t> </w:t>
                          </w:r>
                          <w:r>
                            <w:rPr>
                              <w:i/>
                              <w:sz w:val="16"/>
                            </w:rPr>
                            <w:t>/</w:t>
                          </w:r>
                          <w:r>
                            <w:rPr>
                              <w:i/>
                              <w:spacing w:val="-3"/>
                              <w:sz w:val="16"/>
                            </w:rPr>
                            <w:t> </w:t>
                          </w:r>
                          <w:r>
                            <w:rPr>
                              <w:i/>
                              <w:sz w:val="16"/>
                            </w:rPr>
                            <w:t>Californian</w:t>
                          </w:r>
                          <w:r>
                            <w:rPr>
                              <w:i/>
                              <w:spacing w:val="-3"/>
                              <w:sz w:val="16"/>
                            </w:rPr>
                            <w:t> </w:t>
                          </w:r>
                          <w:r>
                            <w:rPr>
                              <w:i/>
                              <w:sz w:val="16"/>
                            </w:rPr>
                            <w:t>Journal</w:t>
                          </w:r>
                          <w:r>
                            <w:rPr>
                              <w:i/>
                              <w:spacing w:val="-3"/>
                              <w:sz w:val="16"/>
                            </w:rPr>
                            <w:t> </w:t>
                          </w:r>
                          <w:r>
                            <w:rPr>
                              <w:i/>
                              <w:sz w:val="16"/>
                            </w:rPr>
                            <w:t>of</w:t>
                          </w:r>
                          <w:r>
                            <w:rPr>
                              <w:i/>
                              <w:spacing w:val="-4"/>
                              <w:sz w:val="16"/>
                            </w:rPr>
                            <w:t> </w:t>
                          </w:r>
                          <w:r>
                            <w:rPr>
                              <w:i/>
                              <w:sz w:val="16"/>
                            </w:rPr>
                            <w:t>Health</w:t>
                          </w:r>
                          <w:r>
                            <w:rPr>
                              <w:i/>
                              <w:spacing w:val="-3"/>
                              <w:sz w:val="16"/>
                            </w:rPr>
                            <w:t> </w:t>
                          </w:r>
                          <w:r>
                            <w:rPr>
                              <w:i/>
                              <w:sz w:val="16"/>
                            </w:rPr>
                            <w:t>Promotion</w:t>
                          </w:r>
                          <w:r>
                            <w:rPr>
                              <w:i/>
                              <w:spacing w:val="40"/>
                              <w:sz w:val="16"/>
                            </w:rPr>
                            <w:t> </w:t>
                          </w:r>
                          <w:r>
                            <w:rPr>
                              <w:i/>
                              <w:sz w:val="16"/>
                            </w:rPr>
                            <w:t>2013, Volume 11, Issue 2, 12-20</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76.400002pt;margin-top:35.148914pt;width:418.9pt;height:20.05pt;mso-position-horizontal-relative:page;mso-position-vertical-relative:page;z-index:-16253440" type="#_x0000_t202" id="docshape1" filled="false" stroked="false">
              <v:textbox inset="0,0,0,0">
                <w:txbxContent>
                  <w:p>
                    <w:pPr>
                      <w:spacing w:before="13"/>
                      <w:ind w:left="20" w:right="18" w:firstLine="0"/>
                      <w:jc w:val="left"/>
                      <w:rPr>
                        <w:i/>
                        <w:sz w:val="16"/>
                      </w:rPr>
                    </w:pPr>
                    <w:r>
                      <w:rPr>
                        <w:i/>
                        <w:sz w:val="16"/>
                      </w:rPr>
                      <w:t>Sur,</w:t>
                    </w:r>
                    <w:r>
                      <w:rPr>
                        <w:i/>
                        <w:spacing w:val="-3"/>
                        <w:sz w:val="16"/>
                      </w:rPr>
                      <w:t> </w:t>
                    </w:r>
                    <w:r>
                      <w:rPr>
                        <w:i/>
                        <w:sz w:val="16"/>
                      </w:rPr>
                      <w:t>R.,</w:t>
                    </w:r>
                    <w:r>
                      <w:rPr>
                        <w:i/>
                        <w:spacing w:val="-2"/>
                        <w:sz w:val="16"/>
                      </w:rPr>
                      <w:t> </w:t>
                    </w:r>
                    <w:r>
                      <w:rPr>
                        <w:i/>
                        <w:sz w:val="16"/>
                      </w:rPr>
                      <w:t>Beck,</w:t>
                    </w:r>
                    <w:r>
                      <w:rPr>
                        <w:i/>
                        <w:spacing w:val="-3"/>
                        <w:sz w:val="16"/>
                      </w:rPr>
                      <w:t> </w:t>
                    </w:r>
                    <w:r>
                      <w:rPr>
                        <w:i/>
                        <w:sz w:val="16"/>
                      </w:rPr>
                      <w:t>L.L.,</w:t>
                    </w:r>
                    <w:r>
                      <w:rPr>
                        <w:i/>
                        <w:spacing w:val="-2"/>
                        <w:sz w:val="16"/>
                      </w:rPr>
                      <w:t> </w:t>
                    </w:r>
                    <w:r>
                      <w:rPr>
                        <w:i/>
                        <w:sz w:val="16"/>
                      </w:rPr>
                      <w:t>Fifita,</w:t>
                    </w:r>
                    <w:r>
                      <w:rPr>
                        <w:i/>
                        <w:spacing w:val="-3"/>
                        <w:sz w:val="16"/>
                      </w:rPr>
                      <w:t> </w:t>
                    </w:r>
                    <w:r>
                      <w:rPr>
                        <w:i/>
                        <w:sz w:val="16"/>
                      </w:rPr>
                      <w:t>M.,</w:t>
                    </w:r>
                    <w:r>
                      <w:rPr>
                        <w:i/>
                        <w:spacing w:val="-2"/>
                        <w:sz w:val="16"/>
                      </w:rPr>
                      <w:t> </w:t>
                    </w:r>
                    <w:r>
                      <w:rPr>
                        <w:i/>
                        <w:sz w:val="16"/>
                      </w:rPr>
                      <w:t>Gonzalez,</w:t>
                    </w:r>
                    <w:r>
                      <w:rPr>
                        <w:i/>
                        <w:spacing w:val="-3"/>
                        <w:sz w:val="16"/>
                      </w:rPr>
                      <w:t> </w:t>
                    </w:r>
                    <w:r>
                      <w:rPr>
                        <w:i/>
                        <w:sz w:val="16"/>
                      </w:rPr>
                      <w:t>M.,</w:t>
                    </w:r>
                    <w:r>
                      <w:rPr>
                        <w:i/>
                        <w:spacing w:val="-2"/>
                        <w:sz w:val="16"/>
                      </w:rPr>
                      <w:t> </w:t>
                    </w:r>
                    <w:r>
                      <w:rPr>
                        <w:i/>
                        <w:sz w:val="16"/>
                      </w:rPr>
                      <w:t>Guevara,</w:t>
                    </w:r>
                    <w:r>
                      <w:rPr>
                        <w:i/>
                        <w:spacing w:val="-3"/>
                        <w:sz w:val="16"/>
                      </w:rPr>
                      <w:t> </w:t>
                    </w:r>
                    <w:r>
                      <w:rPr>
                        <w:i/>
                        <w:sz w:val="16"/>
                      </w:rPr>
                      <w:t>L.,</w:t>
                    </w:r>
                    <w:r>
                      <w:rPr>
                        <w:i/>
                        <w:spacing w:val="-3"/>
                        <w:sz w:val="16"/>
                      </w:rPr>
                      <w:t> </w:t>
                    </w:r>
                    <w:r>
                      <w:rPr>
                        <w:i/>
                        <w:sz w:val="16"/>
                      </w:rPr>
                      <w:t>Palmer,</w:t>
                    </w:r>
                    <w:r>
                      <w:rPr>
                        <w:i/>
                        <w:spacing w:val="-2"/>
                        <w:sz w:val="16"/>
                      </w:rPr>
                      <w:t> </w:t>
                    </w:r>
                    <w:r>
                      <w:rPr>
                        <w:i/>
                        <w:sz w:val="16"/>
                      </w:rPr>
                      <w:t>P.H.,</w:t>
                    </w:r>
                    <w:r>
                      <w:rPr>
                        <w:i/>
                        <w:spacing w:val="-3"/>
                        <w:sz w:val="16"/>
                      </w:rPr>
                      <w:t> </w:t>
                    </w:r>
                    <w:r>
                      <w:rPr>
                        <w:i/>
                        <w:sz w:val="16"/>
                      </w:rPr>
                      <w:t>Tanjasiri,</w:t>
                    </w:r>
                    <w:r>
                      <w:rPr>
                        <w:i/>
                        <w:spacing w:val="-3"/>
                        <w:sz w:val="16"/>
                      </w:rPr>
                      <w:t> </w:t>
                    </w:r>
                    <w:r>
                      <w:rPr>
                        <w:i/>
                        <w:sz w:val="16"/>
                      </w:rPr>
                      <w:t>S.P.</w:t>
                    </w:r>
                    <w:r>
                      <w:rPr>
                        <w:i/>
                        <w:spacing w:val="-3"/>
                        <w:sz w:val="16"/>
                      </w:rPr>
                      <w:t> </w:t>
                    </w:r>
                    <w:r>
                      <w:rPr>
                        <w:i/>
                        <w:sz w:val="16"/>
                      </w:rPr>
                      <w:t>/</w:t>
                    </w:r>
                    <w:r>
                      <w:rPr>
                        <w:i/>
                        <w:spacing w:val="-3"/>
                        <w:sz w:val="16"/>
                      </w:rPr>
                      <w:t> </w:t>
                    </w:r>
                    <w:r>
                      <w:rPr>
                        <w:i/>
                        <w:sz w:val="16"/>
                      </w:rPr>
                      <w:t>Californian</w:t>
                    </w:r>
                    <w:r>
                      <w:rPr>
                        <w:i/>
                        <w:spacing w:val="-3"/>
                        <w:sz w:val="16"/>
                      </w:rPr>
                      <w:t> </w:t>
                    </w:r>
                    <w:r>
                      <w:rPr>
                        <w:i/>
                        <w:sz w:val="16"/>
                      </w:rPr>
                      <w:t>Journal</w:t>
                    </w:r>
                    <w:r>
                      <w:rPr>
                        <w:i/>
                        <w:spacing w:val="-3"/>
                        <w:sz w:val="16"/>
                      </w:rPr>
                      <w:t> </w:t>
                    </w:r>
                    <w:r>
                      <w:rPr>
                        <w:i/>
                        <w:sz w:val="16"/>
                      </w:rPr>
                      <w:t>of</w:t>
                    </w:r>
                    <w:r>
                      <w:rPr>
                        <w:i/>
                        <w:spacing w:val="-4"/>
                        <w:sz w:val="16"/>
                      </w:rPr>
                      <w:t> </w:t>
                    </w:r>
                    <w:r>
                      <w:rPr>
                        <w:i/>
                        <w:sz w:val="16"/>
                      </w:rPr>
                      <w:t>Health</w:t>
                    </w:r>
                    <w:r>
                      <w:rPr>
                        <w:i/>
                        <w:spacing w:val="-3"/>
                        <w:sz w:val="16"/>
                      </w:rPr>
                      <w:t> </w:t>
                    </w:r>
                    <w:r>
                      <w:rPr>
                        <w:i/>
                        <w:sz w:val="16"/>
                      </w:rPr>
                      <w:t>Promotion</w:t>
                    </w:r>
                    <w:r>
                      <w:rPr>
                        <w:i/>
                        <w:spacing w:val="40"/>
                        <w:sz w:val="16"/>
                      </w:rPr>
                      <w:t> </w:t>
                    </w:r>
                    <w:r>
                      <w:rPr>
                        <w:i/>
                        <w:sz w:val="16"/>
                      </w:rPr>
                      <w:t>2013, Volume 11, Issue 2, 12-20</w:t>
                    </w:r>
                  </w:p>
                </w:txbxContent>
              </v:textbox>
              <w10:wrap type="none"/>
            </v:shape>
          </w:pict>
        </mc:Fallback>
      </mc:AlternateConten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en-US" w:eastAsia="en-US" w:bidi="ar-SA"/>
    </w:rPr>
  </w:style>
  <w:style w:styleId="Heading1" w:type="paragraph">
    <w:name w:val="Heading 1"/>
    <w:basedOn w:val="Normal"/>
    <w:uiPriority w:val="1"/>
    <w:qFormat/>
    <w:pPr>
      <w:spacing w:before="10"/>
      <w:ind w:left="60"/>
      <w:outlineLvl w:val="1"/>
    </w:pPr>
    <w:rPr>
      <w:rFonts w:ascii="Times New Roman" w:hAnsi="Times New Roman" w:eastAsia="Times New Roman" w:cs="Times New Roman"/>
      <w:sz w:val="24"/>
      <w:szCs w:val="24"/>
      <w:lang w:val="en-US" w:eastAsia="en-US" w:bidi="ar-SA"/>
    </w:rPr>
  </w:style>
  <w:style w:styleId="Heading2" w:type="paragraph">
    <w:name w:val="Heading 2"/>
    <w:basedOn w:val="Normal"/>
    <w:uiPriority w:val="1"/>
    <w:qFormat/>
    <w:pPr>
      <w:spacing w:line="252" w:lineRule="exact"/>
      <w:ind w:left="240"/>
      <w:outlineLvl w:val="2"/>
    </w:pPr>
    <w:rPr>
      <w:rFonts w:ascii="Times New Roman" w:hAnsi="Times New Roman" w:eastAsia="Times New Roman" w:cs="Times New Roman"/>
      <w:b/>
      <w:bCs/>
      <w:sz w:val="22"/>
      <w:szCs w:val="22"/>
      <w:lang w:val="en-US" w:eastAsia="en-US" w:bidi="ar-SA"/>
    </w:rPr>
  </w:style>
  <w:style w:styleId="Title" w:type="paragraph">
    <w:name w:val="Title"/>
    <w:basedOn w:val="Normal"/>
    <w:uiPriority w:val="1"/>
    <w:qFormat/>
    <w:pPr>
      <w:ind w:left="271" w:right="490"/>
      <w:jc w:val="center"/>
    </w:pPr>
    <w:rPr>
      <w:rFonts w:ascii="Times New Roman" w:hAnsi="Times New Roman" w:eastAsia="Times New Roman" w:cs="Times New Roman"/>
      <w:sz w:val="28"/>
      <w:szCs w:val="28"/>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rFonts w:ascii="Times New Roman" w:hAnsi="Times New Roman" w:eastAsia="Times New Roman" w:cs="Times New Roman"/>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yperlink" Target="http://www.cdc.gov/cancer/colorectal/basic_info/index.htm" TargetMode="External"/><Relationship Id="rId8" Type="http://schemas.openxmlformats.org/officeDocument/2006/relationships/hyperlink" Target="http://www.cdc.gov/uscs" TargetMode="External"/><Relationship Id="rId9" Type="http://schemas.openxmlformats.org/officeDocument/2006/relationships/hyperlink" Target="http://www.factfinder2.census.gov/" TargetMode="External"/><Relationship Id="rId10" Type="http://schemas.openxmlformats.org/officeDocument/2006/relationships/hyperlink" Target="http://www.uspreventiveservicestaskforce.org/uspstf08/colocancer/colors.htm" TargetMode="External"/><Relationship Id="rId11" Type="http://schemas.openxmlformats.org/officeDocument/2006/relationships/hyperlink" Target="mailto:rosur@fullerton.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2026-10-05T15:47:03Z</dcterms:created>
  <dcterms:modified xsi:type="dcterms:W3CDTF">2026-10-05T15:47:03Z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2013-07-26T00:00:00Z</vt:filetime>
  </property>
  <property fmtid="{D5CDD505-2E9C-101B-9397-08002B2CF9AE}" pid="3" name="Creator">
    <vt:lpwstr>PScript5.dll Version 5.2.2</vt:lpwstr>
  </property>
  <property fmtid="{D5CDD505-2E9C-101B-9397-08002B2CF9AE}" pid="4" name="LastSaved">
    <vt:filetime>2026-10-05T00:00:00Z</vt:filetime>
  </property>
  <property fmtid="{D5CDD505-2E9C-101B-9397-08002B2CF9AE}" pid="5" name="Producer">
    <vt:lpwstr>Acrobat Distiller 9.5.5 (Windows)</vt:lpwstr>
  </property>
</Properties>
</file>